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1" w14:textId="77777777" w:rsidR="00FC13B3" w:rsidRDefault="00E0033E">
      <w:pPr>
        <w:jc w:val="center"/>
        <w:rPr>
          <w:rFonts w:ascii="Times New Roman" w:eastAsia="Times New Roman" w:hAnsi="Times New Roman" w:cs="Times New Roman"/>
          <w:b/>
        </w:rPr>
      </w:pPr>
      <w:r>
        <w:rPr>
          <w:rFonts w:ascii="Times New Roman" w:eastAsia="Times New Roman" w:hAnsi="Times New Roman" w:cs="Times New Roman"/>
          <w:b/>
        </w:rPr>
        <w:t xml:space="preserve">Capturing the Heartbeat of a Crisis Without Infringement   </w:t>
      </w:r>
    </w:p>
    <w:p w14:paraId="00000002" w14:textId="77777777" w:rsidR="00FC13B3" w:rsidRDefault="00E0033E">
      <w:pPr>
        <w:jc w:val="center"/>
        <w:rPr>
          <w:rFonts w:ascii="Times New Roman" w:eastAsia="Times New Roman" w:hAnsi="Times New Roman" w:cs="Times New Roman"/>
        </w:rPr>
      </w:pPr>
      <w:r>
        <w:rPr>
          <w:rFonts w:ascii="Times New Roman" w:eastAsia="Times New Roman" w:hAnsi="Times New Roman" w:cs="Times New Roman"/>
        </w:rPr>
        <w:t>Agnes Beatrice Gambill, JD, LLM</w:t>
      </w:r>
    </w:p>
    <w:p w14:paraId="00000003" w14:textId="77777777" w:rsidR="00FC13B3" w:rsidRDefault="00FC13B3">
      <w:pPr>
        <w:rPr>
          <w:rFonts w:ascii="Times New Roman" w:eastAsia="Times New Roman" w:hAnsi="Times New Roman" w:cs="Times New Roman"/>
        </w:rPr>
      </w:pPr>
    </w:p>
    <w:p w14:paraId="00000004" w14:textId="77777777" w:rsidR="00FC13B3" w:rsidRDefault="00E0033E">
      <w:pPr>
        <w:jc w:val="center"/>
        <w:rPr>
          <w:rFonts w:ascii="Times New Roman" w:eastAsia="Times New Roman" w:hAnsi="Times New Roman" w:cs="Times New Roman"/>
        </w:rPr>
      </w:pPr>
      <w:r>
        <w:rPr>
          <w:rFonts w:ascii="Times New Roman" w:eastAsia="Times New Roman" w:hAnsi="Times New Roman" w:cs="Times New Roman"/>
          <w:b/>
        </w:rPr>
        <w:t>INTRODUCTION</w:t>
      </w:r>
      <w:r>
        <w:rPr>
          <w:rFonts w:ascii="Times New Roman" w:eastAsia="Times New Roman" w:hAnsi="Times New Roman" w:cs="Times New Roman"/>
        </w:rPr>
        <w:t xml:space="preserve"> </w:t>
      </w:r>
    </w:p>
    <w:p w14:paraId="00000005" w14:textId="77777777" w:rsidR="00FC13B3" w:rsidRDefault="00FC13B3">
      <w:pPr>
        <w:rPr>
          <w:rFonts w:ascii="Times New Roman" w:eastAsia="Times New Roman" w:hAnsi="Times New Roman" w:cs="Times New Roman"/>
        </w:rPr>
      </w:pPr>
    </w:p>
    <w:p w14:paraId="00000006"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In times of crisis, journalists and the media have an obligation to keep the public informed of critical information, especially when human health and welfare are at stake.  The COVID-19 pandemic and the George Floyd protests have further emphasized the pu</w:t>
      </w:r>
      <w:r>
        <w:rPr>
          <w:rFonts w:ascii="Times New Roman" w:eastAsia="Times New Roman" w:hAnsi="Times New Roman" w:cs="Times New Roman"/>
        </w:rPr>
        <w:t xml:space="preserve">blic’s need for open, multidimensional content that not only shares facts and data, but also stories and illustrations of the human experience during these uncertain times.  Photographs in particular capture the emotions and heartbeat of the global crisis </w:t>
      </w:r>
      <w:r>
        <w:rPr>
          <w:rFonts w:ascii="Times New Roman" w:eastAsia="Times New Roman" w:hAnsi="Times New Roman" w:cs="Times New Roman"/>
        </w:rPr>
        <w:t xml:space="preserve">in ways that are not easily conveyed with words.  This desire for visual connection and communication has been further fueled by the physical constraints created by social distancing policies.  </w:t>
      </w:r>
    </w:p>
    <w:p w14:paraId="00000007" w14:textId="77777777" w:rsidR="00FC13B3" w:rsidRDefault="00E0033E">
      <w:pPr>
        <w:spacing w:line="360" w:lineRule="auto"/>
        <w:ind w:firstLine="720"/>
        <w:rPr>
          <w:rFonts w:ascii="Times New Roman" w:eastAsia="Times New Roman" w:hAnsi="Times New Roman" w:cs="Times New Roman"/>
          <w:highlight w:val="yellow"/>
        </w:rPr>
      </w:pPr>
      <w:r>
        <w:rPr>
          <w:rFonts w:ascii="Times New Roman" w:eastAsia="Times New Roman" w:hAnsi="Times New Roman" w:cs="Times New Roman"/>
        </w:rPr>
        <w:t>To date, journalists and media platforms have been able to li</w:t>
      </w:r>
      <w:r>
        <w:rPr>
          <w:rFonts w:ascii="Times New Roman" w:eastAsia="Times New Roman" w:hAnsi="Times New Roman" w:cs="Times New Roman"/>
        </w:rPr>
        <w:t xml:space="preserve">berally embed stories, tweets, and other media with copyrighted photos that are published on platforms or websites because of the protection afforded by the Ninth Circuit’s Server Test in </w:t>
      </w:r>
      <w:r>
        <w:rPr>
          <w:rFonts w:ascii="Times New Roman" w:eastAsia="Times New Roman" w:hAnsi="Times New Roman" w:cs="Times New Roman"/>
          <w:i/>
        </w:rPr>
        <w:t>Perfect 10</w:t>
      </w:r>
      <w:r>
        <w:rPr>
          <w:rFonts w:ascii="Times New Roman" w:eastAsia="Times New Roman" w:hAnsi="Times New Roman" w:cs="Times New Roman"/>
        </w:rPr>
        <w:t>, a legal theory which permits in-line linking or embeddin</w:t>
      </w:r>
      <w:r>
        <w:rPr>
          <w:rFonts w:ascii="Times New Roman" w:eastAsia="Times New Roman" w:hAnsi="Times New Roman" w:cs="Times New Roman"/>
        </w:rPr>
        <w:t>g of content as long as that content isn’t copied and stored on the receiving website’s server.  For the first time in approximately sixteen years, however, the Second Circuit could halt this practice.</w:t>
      </w:r>
      <w:r>
        <w:rPr>
          <w:rFonts w:ascii="Times New Roman" w:eastAsia="Times New Roman" w:hAnsi="Times New Roman" w:cs="Times New Roman"/>
          <w:vertAlign w:val="superscript"/>
        </w:rPr>
        <w:footnoteReference w:id="1"/>
      </w:r>
      <w:r>
        <w:rPr>
          <w:rFonts w:ascii="Times New Roman" w:eastAsia="Times New Roman" w:hAnsi="Times New Roman" w:cs="Times New Roman"/>
        </w:rPr>
        <w:t xml:space="preserve">  In </w:t>
      </w:r>
      <w:r>
        <w:rPr>
          <w:rFonts w:ascii="Times New Roman" w:eastAsia="Times New Roman" w:hAnsi="Times New Roman" w:cs="Times New Roman"/>
          <w:i/>
        </w:rPr>
        <w:t>Goldman v. Breitbart</w:t>
      </w:r>
      <w:r>
        <w:rPr>
          <w:rFonts w:ascii="Times New Roman" w:eastAsia="Times New Roman" w:hAnsi="Times New Roman" w:cs="Times New Roman"/>
        </w:rPr>
        <w:t>, the Southern District of N</w:t>
      </w:r>
      <w:r>
        <w:rPr>
          <w:rFonts w:ascii="Times New Roman" w:eastAsia="Times New Roman" w:hAnsi="Times New Roman" w:cs="Times New Roman"/>
        </w:rPr>
        <w:t xml:space="preserve">ew York disagreed with the Ninth Circuit and declined to apply the </w:t>
      </w:r>
      <w:r>
        <w:rPr>
          <w:rFonts w:ascii="Times New Roman" w:eastAsia="Times New Roman" w:hAnsi="Times New Roman" w:cs="Times New Roman"/>
          <w:i/>
        </w:rPr>
        <w:t>Perfect 10</w:t>
      </w:r>
      <w:r>
        <w:rPr>
          <w:rFonts w:ascii="Times New Roman" w:eastAsia="Times New Roman" w:hAnsi="Times New Roman" w:cs="Times New Roman"/>
        </w:rPr>
        <w:t xml:space="preserve"> Server Test, holding that embedding a tweet that contained a copyrighted photo in an online news article constituted a “display” under the Copyright Act.</w:t>
      </w:r>
      <w:r>
        <w:rPr>
          <w:rFonts w:ascii="Times New Roman" w:eastAsia="Times New Roman" w:hAnsi="Times New Roman" w:cs="Times New Roman"/>
          <w:vertAlign w:val="superscript"/>
        </w:rPr>
        <w:footnoteReference w:id="2"/>
      </w:r>
      <w:r>
        <w:rPr>
          <w:rFonts w:ascii="Times New Roman" w:eastAsia="Times New Roman" w:hAnsi="Times New Roman" w:cs="Times New Roman"/>
        </w:rPr>
        <w:t xml:space="preserve">  Not only did the hold</w:t>
      </w:r>
      <w:r>
        <w:rPr>
          <w:rFonts w:ascii="Times New Roman" w:eastAsia="Times New Roman" w:hAnsi="Times New Roman" w:cs="Times New Roman"/>
        </w:rPr>
        <w:t xml:space="preserve">ing in </w:t>
      </w:r>
      <w:r>
        <w:rPr>
          <w:rFonts w:ascii="Times New Roman" w:eastAsia="Times New Roman" w:hAnsi="Times New Roman" w:cs="Times New Roman"/>
          <w:i/>
        </w:rPr>
        <w:t>Goldman</w:t>
      </w:r>
      <w:r>
        <w:rPr>
          <w:rFonts w:ascii="Times New Roman" w:eastAsia="Times New Roman" w:hAnsi="Times New Roman" w:cs="Times New Roman"/>
        </w:rPr>
        <w:t xml:space="preserve"> open the door to a potential circuit split between two of the most important copyright circuits, it also raised policy concerns about the “tremendous chilling effect [the case would have] on the core functionality of the web.”</w:t>
      </w:r>
      <w:r>
        <w:rPr>
          <w:rFonts w:ascii="Times New Roman" w:eastAsia="Times New Roman" w:hAnsi="Times New Roman" w:cs="Times New Roman"/>
          <w:vertAlign w:val="superscript"/>
        </w:rPr>
        <w:footnoteReference w:id="3"/>
      </w:r>
      <w:r>
        <w:rPr>
          <w:rFonts w:ascii="Times New Roman" w:eastAsia="Times New Roman" w:hAnsi="Times New Roman" w:cs="Times New Roman"/>
        </w:rPr>
        <w:t xml:space="preserve">  </w:t>
      </w:r>
      <w:r>
        <w:rPr>
          <w:rFonts w:ascii="Times New Roman" w:eastAsia="Times New Roman" w:hAnsi="Times New Roman" w:cs="Times New Roman"/>
          <w:highlight w:val="yellow"/>
        </w:rPr>
        <w:t xml:space="preserve">   </w:t>
      </w:r>
    </w:p>
    <w:p w14:paraId="00000008" w14:textId="77777777" w:rsidR="00FC13B3" w:rsidRDefault="00E0033E">
      <w:pPr>
        <w:spacing w:line="360" w:lineRule="auto"/>
        <w:ind w:firstLine="720"/>
        <w:rPr>
          <w:rFonts w:ascii="Times New Roman" w:eastAsia="Times New Roman" w:hAnsi="Times New Roman" w:cs="Times New Roman"/>
          <w:highlight w:val="yellow"/>
        </w:rPr>
      </w:pPr>
      <w:r>
        <w:rPr>
          <w:rFonts w:ascii="Times New Roman" w:eastAsia="Times New Roman" w:hAnsi="Times New Roman" w:cs="Times New Roman"/>
        </w:rPr>
        <w:t>The Sou</w:t>
      </w:r>
      <w:r>
        <w:rPr>
          <w:rFonts w:ascii="Times New Roman" w:eastAsia="Times New Roman" w:hAnsi="Times New Roman" w:cs="Times New Roman"/>
        </w:rPr>
        <w:t xml:space="preserve">thern District of New York delivered another blow to the practice of embedding photos on media sites and social media platforms in </w:t>
      </w:r>
      <w:proofErr w:type="spellStart"/>
      <w:r>
        <w:rPr>
          <w:rFonts w:ascii="Times New Roman" w:eastAsia="Times New Roman" w:hAnsi="Times New Roman" w:cs="Times New Roman"/>
          <w:i/>
        </w:rPr>
        <w:t>McGucken</w:t>
      </w:r>
      <w:proofErr w:type="spellEnd"/>
      <w:r>
        <w:rPr>
          <w:rFonts w:ascii="Times New Roman" w:eastAsia="Times New Roman" w:hAnsi="Times New Roman" w:cs="Times New Roman"/>
          <w:i/>
        </w:rPr>
        <w:t xml:space="preserve"> v. Newsweek</w:t>
      </w:r>
      <w:r>
        <w:rPr>
          <w:rFonts w:ascii="Times New Roman" w:eastAsia="Times New Roman" w:hAnsi="Times New Roman" w:cs="Times New Roman"/>
        </w:rPr>
        <w:t>.</w:t>
      </w:r>
      <w:r>
        <w:rPr>
          <w:rFonts w:ascii="Times New Roman" w:eastAsia="Times New Roman" w:hAnsi="Times New Roman" w:cs="Times New Roman"/>
          <w:vertAlign w:val="superscript"/>
        </w:rPr>
        <w:footnoteReference w:id="4"/>
      </w:r>
      <w:r>
        <w:rPr>
          <w:rFonts w:ascii="Times New Roman" w:eastAsia="Times New Roman" w:hAnsi="Times New Roman" w:cs="Times New Roman"/>
        </w:rPr>
        <w:t xml:space="preserve">  The </w:t>
      </w:r>
      <w:proofErr w:type="spellStart"/>
      <w:r>
        <w:rPr>
          <w:rFonts w:ascii="Times New Roman" w:eastAsia="Times New Roman" w:hAnsi="Times New Roman" w:cs="Times New Roman"/>
          <w:i/>
        </w:rPr>
        <w:t>McGucken</w:t>
      </w:r>
      <w:proofErr w:type="spellEnd"/>
      <w:r>
        <w:rPr>
          <w:rFonts w:ascii="Times New Roman" w:eastAsia="Times New Roman" w:hAnsi="Times New Roman" w:cs="Times New Roman"/>
          <w:i/>
        </w:rPr>
        <w:t xml:space="preserve"> </w:t>
      </w:r>
      <w:r>
        <w:rPr>
          <w:rFonts w:ascii="Times New Roman" w:eastAsia="Times New Roman" w:hAnsi="Times New Roman" w:cs="Times New Roman"/>
        </w:rPr>
        <w:t>decision proved to be a victory for photographers who, until recently, had little power</w:t>
      </w:r>
      <w:r>
        <w:rPr>
          <w:rFonts w:ascii="Times New Roman" w:eastAsia="Times New Roman" w:hAnsi="Times New Roman" w:cs="Times New Roman"/>
        </w:rPr>
        <w:t xml:space="preserve"> to enforce their display right on social media platforms because of the Server Test and obscure sublicensing terms between platforms and users.  </w:t>
      </w:r>
      <w:r>
        <w:rPr>
          <w:rFonts w:ascii="Times New Roman" w:eastAsia="Times New Roman" w:hAnsi="Times New Roman" w:cs="Times New Roman"/>
          <w:i/>
        </w:rPr>
        <w:t>Sinclair v. Ziff Davis, LLC</w:t>
      </w:r>
      <w:r>
        <w:rPr>
          <w:rFonts w:ascii="Times New Roman" w:eastAsia="Times New Roman" w:hAnsi="Times New Roman" w:cs="Times New Roman"/>
        </w:rPr>
        <w:t xml:space="preserve"> is another case dealing with social media embedding and sublicensing </w:t>
      </w:r>
      <w:r>
        <w:rPr>
          <w:rFonts w:ascii="Times New Roman" w:eastAsia="Times New Roman" w:hAnsi="Times New Roman" w:cs="Times New Roman"/>
        </w:rPr>
        <w:lastRenderedPageBreak/>
        <w:t>rights in the</w:t>
      </w:r>
      <w:r>
        <w:rPr>
          <w:rFonts w:ascii="Times New Roman" w:eastAsia="Times New Roman" w:hAnsi="Times New Roman" w:cs="Times New Roman"/>
        </w:rPr>
        <w:t xml:space="preserve"> Southern District of New York, the outcome of which could further fortify the strength of a photographer’s display right and undermine the force of legality of a social media platform’s fine print.</w:t>
      </w:r>
      <w:r>
        <w:rPr>
          <w:rFonts w:ascii="Times New Roman" w:eastAsia="Times New Roman" w:hAnsi="Times New Roman" w:cs="Times New Roman"/>
          <w:vertAlign w:val="superscript"/>
        </w:rPr>
        <w:footnoteReference w:id="5"/>
      </w:r>
      <w:r>
        <w:rPr>
          <w:rFonts w:ascii="Times New Roman" w:eastAsia="Times New Roman" w:hAnsi="Times New Roman" w:cs="Times New Roman"/>
        </w:rPr>
        <w:t xml:space="preserve">    </w:t>
      </w:r>
      <w:r>
        <w:rPr>
          <w:rFonts w:ascii="Times New Roman" w:eastAsia="Times New Roman" w:hAnsi="Times New Roman" w:cs="Times New Roman"/>
          <w:highlight w:val="yellow"/>
        </w:rPr>
        <w:t xml:space="preserve"> </w:t>
      </w:r>
    </w:p>
    <w:p w14:paraId="00000009"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This article begins by discussing the art of embed</w:t>
      </w:r>
      <w:r>
        <w:rPr>
          <w:rFonts w:ascii="Times New Roman" w:eastAsia="Times New Roman" w:hAnsi="Times New Roman" w:cs="Times New Roman"/>
        </w:rPr>
        <w:t>ding visual content in the digital age and the powerful influence of social media companies in normalizing and fueling this practice.  To understand how social media embedding became a pervasive practice protected by law, Part II discusses the display righ</w:t>
      </w:r>
      <w:r>
        <w:rPr>
          <w:rFonts w:ascii="Times New Roman" w:eastAsia="Times New Roman" w:hAnsi="Times New Roman" w:cs="Times New Roman"/>
        </w:rPr>
        <w:t xml:space="preserve">t in Section 106(5) of the Copyright Act and argues that the Ninth Circuit’s Server Test in </w:t>
      </w:r>
      <w:r>
        <w:rPr>
          <w:rFonts w:ascii="Times New Roman" w:eastAsia="Times New Roman" w:hAnsi="Times New Roman" w:cs="Times New Roman"/>
          <w:i/>
        </w:rPr>
        <w:t>Perfect 10</w:t>
      </w:r>
      <w:r>
        <w:rPr>
          <w:rFonts w:ascii="Times New Roman" w:eastAsia="Times New Roman" w:hAnsi="Times New Roman" w:cs="Times New Roman"/>
        </w:rPr>
        <w:t xml:space="preserve"> was established to bolster the interconnectivity of the internet.  Part III discusses three factors that deliver fatal blows to the art of embedding, inc</w:t>
      </w:r>
      <w:r>
        <w:rPr>
          <w:rFonts w:ascii="Times New Roman" w:eastAsia="Times New Roman" w:hAnsi="Times New Roman" w:cs="Times New Roman"/>
        </w:rPr>
        <w:t xml:space="preserve">luding the dismantling of the Server Test in </w:t>
      </w:r>
      <w:r>
        <w:rPr>
          <w:rFonts w:ascii="Times New Roman" w:eastAsia="Times New Roman" w:hAnsi="Times New Roman" w:cs="Times New Roman"/>
          <w:i/>
        </w:rPr>
        <w:t>Goldman</w:t>
      </w:r>
      <w:r>
        <w:rPr>
          <w:rFonts w:ascii="Times New Roman" w:eastAsia="Times New Roman" w:hAnsi="Times New Roman" w:cs="Times New Roman"/>
        </w:rPr>
        <w:t xml:space="preserve">, the impact of the Supreme Court’s </w:t>
      </w:r>
      <w:proofErr w:type="spellStart"/>
      <w:r>
        <w:rPr>
          <w:rFonts w:ascii="Times New Roman" w:eastAsia="Times New Roman" w:hAnsi="Times New Roman" w:cs="Times New Roman"/>
          <w:i/>
        </w:rPr>
        <w:t>Aereo</w:t>
      </w:r>
      <w:proofErr w:type="spellEnd"/>
      <w:r>
        <w:rPr>
          <w:rFonts w:ascii="Times New Roman" w:eastAsia="Times New Roman" w:hAnsi="Times New Roman" w:cs="Times New Roman"/>
        </w:rPr>
        <w:t xml:space="preserve"> decision on embedding, and the influence of the European Union’s “link tax” on the culture of embedding.  Part IV argues that the Second Circuit should find infri</w:t>
      </w:r>
      <w:r>
        <w:rPr>
          <w:rFonts w:ascii="Times New Roman" w:eastAsia="Times New Roman" w:hAnsi="Times New Roman" w:cs="Times New Roman"/>
        </w:rPr>
        <w:t xml:space="preserve">ngement in </w:t>
      </w:r>
      <w:r>
        <w:rPr>
          <w:rFonts w:ascii="Times New Roman" w:eastAsia="Times New Roman" w:hAnsi="Times New Roman" w:cs="Times New Roman"/>
          <w:i/>
        </w:rPr>
        <w:t>Sinclair</w:t>
      </w:r>
      <w:r>
        <w:rPr>
          <w:rFonts w:ascii="Times New Roman" w:eastAsia="Times New Roman" w:hAnsi="Times New Roman" w:cs="Times New Roman"/>
        </w:rPr>
        <w:t xml:space="preserve"> to reinforce the display right of creators and to disincentivize the use of obscure sublicenses and contracts of adhesion by social media giants.  This section also delves into how social media platforms leverage licenses to navigate ar</w:t>
      </w:r>
      <w:r>
        <w:rPr>
          <w:rFonts w:ascii="Times New Roman" w:eastAsia="Times New Roman" w:hAnsi="Times New Roman" w:cs="Times New Roman"/>
        </w:rPr>
        <w:t>ound the display right and explores the complex interplay between sublicenses and various contract intricacies, including consent,</w:t>
      </w:r>
      <w:r>
        <w:rPr>
          <w:rFonts w:ascii="Times New Roman" w:eastAsia="Times New Roman" w:hAnsi="Times New Roman" w:cs="Times New Roman"/>
          <w:vertAlign w:val="superscript"/>
        </w:rPr>
        <w:footnoteReference w:id="6"/>
      </w:r>
      <w:r>
        <w:rPr>
          <w:rFonts w:ascii="Times New Roman" w:eastAsia="Times New Roman" w:hAnsi="Times New Roman" w:cs="Times New Roman"/>
        </w:rPr>
        <w:t xml:space="preserve"> valid notice, and incorporation by reference, which are central to the </w:t>
      </w:r>
      <w:r>
        <w:rPr>
          <w:rFonts w:ascii="Times New Roman" w:eastAsia="Times New Roman" w:hAnsi="Times New Roman" w:cs="Times New Roman"/>
          <w:i/>
        </w:rPr>
        <w:t xml:space="preserve">Sinclair </w:t>
      </w:r>
      <w:r>
        <w:rPr>
          <w:rFonts w:ascii="Times New Roman" w:eastAsia="Times New Roman" w:hAnsi="Times New Roman" w:cs="Times New Roman"/>
        </w:rPr>
        <w:t>copyright infringement claim.  Part V brief</w:t>
      </w:r>
      <w:r>
        <w:rPr>
          <w:rFonts w:ascii="Times New Roman" w:eastAsia="Times New Roman" w:hAnsi="Times New Roman" w:cs="Times New Roman"/>
        </w:rPr>
        <w:t xml:space="preserve">ly discusses the availability of defenses given the facts in </w:t>
      </w:r>
      <w:r>
        <w:rPr>
          <w:rFonts w:ascii="Times New Roman" w:eastAsia="Times New Roman" w:hAnsi="Times New Roman" w:cs="Times New Roman"/>
          <w:i/>
        </w:rPr>
        <w:t>Sinclair</w:t>
      </w:r>
      <w:r>
        <w:rPr>
          <w:rFonts w:ascii="Times New Roman" w:eastAsia="Times New Roman" w:hAnsi="Times New Roman" w:cs="Times New Roman"/>
        </w:rPr>
        <w:t xml:space="preserve">.      </w:t>
      </w:r>
    </w:p>
    <w:p w14:paraId="0000000A" w14:textId="77777777" w:rsidR="00FC13B3" w:rsidRDefault="00FC13B3">
      <w:pPr>
        <w:rPr>
          <w:rFonts w:ascii="Times New Roman" w:eastAsia="Times New Roman" w:hAnsi="Times New Roman" w:cs="Times New Roman"/>
        </w:rPr>
      </w:pPr>
    </w:p>
    <w:p w14:paraId="0000000B" w14:textId="77777777" w:rsidR="00FC13B3" w:rsidRDefault="00E0033E">
      <w:pPr>
        <w:jc w:val="center"/>
        <w:rPr>
          <w:rFonts w:ascii="Times New Roman" w:eastAsia="Times New Roman" w:hAnsi="Times New Roman" w:cs="Times New Roman"/>
          <w:b/>
        </w:rPr>
      </w:pPr>
      <w:r>
        <w:rPr>
          <w:rFonts w:ascii="Times New Roman" w:eastAsia="Times New Roman" w:hAnsi="Times New Roman" w:cs="Times New Roman"/>
          <w:b/>
        </w:rPr>
        <w:t>PART I: EMBEDDING IS A SOCIAL NORM IN THE DIGITAL AGE</w:t>
      </w:r>
    </w:p>
    <w:p w14:paraId="0000000C" w14:textId="77777777" w:rsidR="00FC13B3" w:rsidRDefault="00FC13B3">
      <w:pPr>
        <w:rPr>
          <w:rFonts w:ascii="Times New Roman" w:eastAsia="Times New Roman" w:hAnsi="Times New Roman" w:cs="Times New Roman"/>
          <w:b/>
        </w:rPr>
      </w:pPr>
    </w:p>
    <w:p w14:paraId="0000000D" w14:textId="77777777" w:rsidR="00FC13B3" w:rsidRDefault="00E0033E">
      <w:pPr>
        <w:numPr>
          <w:ilvl w:val="0"/>
          <w:numId w:val="1"/>
        </w:numPr>
        <w:rPr>
          <w:rFonts w:ascii="Times New Roman" w:eastAsia="Times New Roman" w:hAnsi="Times New Roman" w:cs="Times New Roman"/>
          <w:b/>
        </w:rPr>
      </w:pPr>
      <w:r>
        <w:rPr>
          <w:rFonts w:ascii="Times New Roman" w:eastAsia="Times New Roman" w:hAnsi="Times New Roman" w:cs="Times New Roman"/>
          <w:b/>
        </w:rPr>
        <w:t xml:space="preserve">THE DESIRE FOR VISUAL CONTENT </w:t>
      </w:r>
      <w:r>
        <w:rPr>
          <w:rFonts w:ascii="Times New Roman" w:eastAsia="Times New Roman" w:hAnsi="Times New Roman" w:cs="Times New Roman"/>
        </w:rPr>
        <w:t xml:space="preserve"> </w:t>
      </w:r>
    </w:p>
    <w:p w14:paraId="0000000E" w14:textId="77777777" w:rsidR="00FC13B3" w:rsidRDefault="00FC13B3">
      <w:pPr>
        <w:spacing w:line="360" w:lineRule="auto"/>
        <w:ind w:firstLine="720"/>
        <w:rPr>
          <w:rFonts w:ascii="Times New Roman" w:eastAsia="Times New Roman" w:hAnsi="Times New Roman" w:cs="Times New Roman"/>
        </w:rPr>
      </w:pPr>
    </w:p>
    <w:p w14:paraId="0000000F"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Sharing visual content on social media is pervasive</w:t>
      </w:r>
      <w:r>
        <w:rPr>
          <w:rFonts w:ascii="Times New Roman" w:eastAsia="Times New Roman" w:hAnsi="Times New Roman" w:cs="Times New Roman"/>
        </w:rPr>
        <w:t xml:space="preserve"> in our culture.  The desire to observe, admire, and scrutinize images is human nature.  Neurologically, a photograph helps the brain absorb and translate large amounts of complex information quickly compared to reading a dense passage of text.</w:t>
      </w:r>
      <w:r>
        <w:rPr>
          <w:rFonts w:ascii="Times New Roman" w:eastAsia="Times New Roman" w:hAnsi="Times New Roman" w:cs="Times New Roman"/>
          <w:vertAlign w:val="superscript"/>
        </w:rPr>
        <w:footnoteReference w:id="7"/>
      </w:r>
      <w:r>
        <w:rPr>
          <w:rFonts w:ascii="Times New Roman" w:eastAsia="Times New Roman" w:hAnsi="Times New Roman" w:cs="Times New Roman"/>
        </w:rPr>
        <w:t xml:space="preserve">  An image</w:t>
      </w:r>
      <w:r>
        <w:rPr>
          <w:rFonts w:ascii="Times New Roman" w:eastAsia="Times New Roman" w:hAnsi="Times New Roman" w:cs="Times New Roman"/>
        </w:rPr>
        <w:t xml:space="preserve"> is also more likely to be encoded and stored in long term memory than words.</w:t>
      </w:r>
      <w:r>
        <w:rPr>
          <w:rFonts w:ascii="Times New Roman" w:eastAsia="Times New Roman" w:hAnsi="Times New Roman" w:cs="Times New Roman"/>
          <w:vertAlign w:val="superscript"/>
        </w:rPr>
        <w:footnoteReference w:id="8"/>
      </w:r>
      <w:r>
        <w:rPr>
          <w:rFonts w:ascii="Times New Roman" w:eastAsia="Times New Roman" w:hAnsi="Times New Roman" w:cs="Times New Roman"/>
        </w:rPr>
        <w:t xml:space="preserve">  Psychologically, the brain thrives on multimodal sensory stimulation through visual perception to process emotion, influence moods, and impact motivation.</w:t>
      </w:r>
      <w:r>
        <w:rPr>
          <w:rFonts w:ascii="Times New Roman" w:eastAsia="Times New Roman" w:hAnsi="Times New Roman" w:cs="Times New Roman"/>
          <w:vertAlign w:val="superscript"/>
        </w:rPr>
        <w:footnoteReference w:id="9"/>
      </w:r>
      <w:r>
        <w:rPr>
          <w:rFonts w:ascii="Times New Roman" w:eastAsia="Times New Roman" w:hAnsi="Times New Roman" w:cs="Times New Roman"/>
        </w:rPr>
        <w:t xml:space="preserve">  Culturally, marke</w:t>
      </w:r>
      <w:r>
        <w:rPr>
          <w:rFonts w:ascii="Times New Roman" w:eastAsia="Times New Roman" w:hAnsi="Times New Roman" w:cs="Times New Roman"/>
        </w:rPr>
        <w:t>ting and advertising surveys show that consumers of online content crave instant gratification, which can easily be sated by attractive visual content.</w:t>
      </w:r>
      <w:r>
        <w:rPr>
          <w:rFonts w:ascii="Times New Roman" w:eastAsia="Times New Roman" w:hAnsi="Times New Roman" w:cs="Times New Roman"/>
          <w:vertAlign w:val="superscript"/>
        </w:rPr>
        <w:footnoteReference w:id="10"/>
      </w:r>
      <w:r>
        <w:rPr>
          <w:rFonts w:ascii="Times New Roman" w:eastAsia="Times New Roman" w:hAnsi="Times New Roman" w:cs="Times New Roman"/>
        </w:rPr>
        <w:t xml:space="preserve">  </w:t>
      </w:r>
    </w:p>
    <w:p w14:paraId="00000010"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lastRenderedPageBreak/>
        <w:t>These behavioral traits have been reinforced by the new social dynamics of modern culture that inclu</w:t>
      </w:r>
      <w:r>
        <w:rPr>
          <w:rFonts w:ascii="Times New Roman" w:eastAsia="Times New Roman" w:hAnsi="Times New Roman" w:cs="Times New Roman"/>
        </w:rPr>
        <w:t>de frequently sharing visuals, such as photos, GIFs, memes, infographics, and screenshots, with a vast network of individuals on social media platforms.  When visual content is shared, an experience is shared.  Humans desire connection, and the COVID-19 cr</w:t>
      </w:r>
      <w:r>
        <w:rPr>
          <w:rFonts w:ascii="Times New Roman" w:eastAsia="Times New Roman" w:hAnsi="Times New Roman" w:cs="Times New Roman"/>
        </w:rPr>
        <w:t>isis has further fueled this desire.  One study has shown that the loneliness experienced due to COVID-19-related isolation and social distancing produces brain signals similar to that of hunger.</w:t>
      </w:r>
      <w:r>
        <w:rPr>
          <w:rFonts w:ascii="Times New Roman" w:eastAsia="Times New Roman" w:hAnsi="Times New Roman" w:cs="Times New Roman"/>
          <w:vertAlign w:val="superscript"/>
        </w:rPr>
        <w:footnoteReference w:id="11"/>
      </w:r>
      <w:r>
        <w:rPr>
          <w:rFonts w:ascii="Times New Roman" w:eastAsia="Times New Roman" w:hAnsi="Times New Roman" w:cs="Times New Roman"/>
        </w:rPr>
        <w:t xml:space="preserve">  The same study also suggests that sharing different forms</w:t>
      </w:r>
      <w:r>
        <w:rPr>
          <w:rFonts w:ascii="Times New Roman" w:eastAsia="Times New Roman" w:hAnsi="Times New Roman" w:cs="Times New Roman"/>
        </w:rPr>
        <w:t xml:space="preserve"> of social media content could satisfy that basic need for social connection.  Photos, in particular, best capture the experience of humanity.       </w:t>
      </w:r>
    </w:p>
    <w:p w14:paraId="00000011" w14:textId="77777777" w:rsidR="00FC13B3" w:rsidRDefault="00FC13B3">
      <w:pPr>
        <w:spacing w:line="360" w:lineRule="auto"/>
        <w:ind w:firstLine="720"/>
        <w:rPr>
          <w:rFonts w:ascii="Times New Roman" w:eastAsia="Times New Roman" w:hAnsi="Times New Roman" w:cs="Times New Roman"/>
        </w:rPr>
      </w:pPr>
    </w:p>
    <w:p w14:paraId="00000012" w14:textId="77777777" w:rsidR="00FC13B3" w:rsidRDefault="00E0033E">
      <w:pPr>
        <w:numPr>
          <w:ilvl w:val="0"/>
          <w:numId w:val="1"/>
        </w:numPr>
        <w:rPr>
          <w:rFonts w:ascii="Times New Roman" w:eastAsia="Times New Roman" w:hAnsi="Times New Roman" w:cs="Times New Roman"/>
          <w:b/>
        </w:rPr>
      </w:pPr>
      <w:r>
        <w:rPr>
          <w:rFonts w:ascii="Times New Roman" w:eastAsia="Times New Roman" w:hAnsi="Times New Roman" w:cs="Times New Roman"/>
          <w:b/>
        </w:rPr>
        <w:t xml:space="preserve">EMBEDDING IS ANOTHER TERM FOR IN-LINE LINKING </w:t>
      </w:r>
    </w:p>
    <w:p w14:paraId="00000013" w14:textId="77777777" w:rsidR="00FC13B3" w:rsidRDefault="00FC13B3">
      <w:pPr>
        <w:ind w:left="720"/>
        <w:rPr>
          <w:rFonts w:ascii="Times New Roman" w:eastAsia="Times New Roman" w:hAnsi="Times New Roman" w:cs="Times New Roman"/>
        </w:rPr>
      </w:pPr>
    </w:p>
    <w:p w14:paraId="00000014"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Although sharing photos on social media platforms can be accomplished in different ways, embedding photos is one of the most popular methods.  Embedding is a technical term that is synonymous with in-line linking.  The Ninth Circuit first described in-line</w:t>
      </w:r>
      <w:r>
        <w:rPr>
          <w:rFonts w:ascii="Times New Roman" w:eastAsia="Times New Roman" w:hAnsi="Times New Roman" w:cs="Times New Roman"/>
        </w:rPr>
        <w:t xml:space="preserve"> linking in </w:t>
      </w:r>
      <w:r>
        <w:rPr>
          <w:rFonts w:ascii="Times New Roman" w:eastAsia="Times New Roman" w:hAnsi="Times New Roman" w:cs="Times New Roman"/>
          <w:i/>
        </w:rPr>
        <w:t>Kelly v. Arriba Soft. Corp</w:t>
      </w:r>
      <w:r>
        <w:rPr>
          <w:rFonts w:ascii="Times New Roman" w:eastAsia="Times New Roman" w:hAnsi="Times New Roman" w:cs="Times New Roman"/>
        </w:rPr>
        <w:t>. as “the process of importing an image from another website [so that it is] displayed as though it is part of the current web page.”</w:t>
      </w:r>
      <w:r>
        <w:rPr>
          <w:rFonts w:ascii="Times New Roman" w:eastAsia="Times New Roman" w:hAnsi="Times New Roman" w:cs="Times New Roman"/>
          <w:vertAlign w:val="superscript"/>
        </w:rPr>
        <w:footnoteReference w:id="12"/>
      </w:r>
      <w:r>
        <w:rPr>
          <w:rFonts w:ascii="Times New Roman" w:eastAsia="Times New Roman" w:hAnsi="Times New Roman" w:cs="Times New Roman"/>
        </w:rPr>
        <w:t xml:space="preserve">  When an image is embedded through in-line linking, HTML code is written into the </w:t>
      </w:r>
      <w:r>
        <w:rPr>
          <w:rFonts w:ascii="Times New Roman" w:eastAsia="Times New Roman" w:hAnsi="Times New Roman" w:cs="Times New Roman"/>
        </w:rPr>
        <w:t>webpage to direct the browser to the server where the image is stored.</w:t>
      </w:r>
      <w:r>
        <w:rPr>
          <w:rFonts w:ascii="Times New Roman" w:eastAsia="Times New Roman" w:hAnsi="Times New Roman" w:cs="Times New Roman"/>
          <w:vertAlign w:val="superscript"/>
        </w:rPr>
        <w:footnoteReference w:id="13"/>
      </w:r>
      <w:r>
        <w:rPr>
          <w:rFonts w:ascii="Times New Roman" w:eastAsia="Times New Roman" w:hAnsi="Times New Roman" w:cs="Times New Roman"/>
        </w:rPr>
        <w:t xml:space="preserve">       </w:t>
      </w:r>
    </w:p>
    <w:p w14:paraId="00000015"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 xml:space="preserve">In-line linking is distinguished from hyperlinking in that hyperlinking consists of a user copying and pasting an URL, such as </w:t>
      </w:r>
      <w:hyperlink r:id="rId7">
        <w:r>
          <w:rPr>
            <w:rFonts w:ascii="Times New Roman" w:eastAsia="Times New Roman" w:hAnsi="Times New Roman" w:cs="Times New Roman"/>
            <w:color w:val="1155CC"/>
            <w:u w:val="single"/>
          </w:rPr>
          <w:t>www.goog</w:t>
        </w:r>
        <w:r>
          <w:rPr>
            <w:rFonts w:ascii="Times New Roman" w:eastAsia="Times New Roman" w:hAnsi="Times New Roman" w:cs="Times New Roman"/>
            <w:color w:val="1155CC"/>
            <w:u w:val="single"/>
          </w:rPr>
          <w:t>le.com</w:t>
        </w:r>
      </w:hyperlink>
      <w:r>
        <w:rPr>
          <w:rFonts w:ascii="Times New Roman" w:eastAsia="Times New Roman" w:hAnsi="Times New Roman" w:cs="Times New Roman"/>
        </w:rPr>
        <w:t>, on a webpage that directs the person clicking on the URL to the source of the copyrighted image.  As a source identifier consisting of a string of characters, the URL does not contain or display any copyrighted content that would cause hyperlinking</w:t>
      </w:r>
      <w:r>
        <w:rPr>
          <w:rFonts w:ascii="Times New Roman" w:eastAsia="Times New Roman" w:hAnsi="Times New Roman" w:cs="Times New Roman"/>
        </w:rPr>
        <w:t xml:space="preserve"> to fall within the scope of copyright infringement.  As the Second Circuit noted in </w:t>
      </w:r>
      <w:r>
        <w:rPr>
          <w:rFonts w:ascii="Times New Roman" w:eastAsia="Times New Roman" w:hAnsi="Times New Roman" w:cs="Times New Roman"/>
          <w:i/>
        </w:rPr>
        <w:t xml:space="preserve">Pearson Education v. </w:t>
      </w:r>
      <w:proofErr w:type="spellStart"/>
      <w:r>
        <w:rPr>
          <w:rFonts w:ascii="Times New Roman" w:eastAsia="Times New Roman" w:hAnsi="Times New Roman" w:cs="Times New Roman"/>
          <w:i/>
        </w:rPr>
        <w:t>Ishayev</w:t>
      </w:r>
      <w:proofErr w:type="spellEnd"/>
      <w:r>
        <w:rPr>
          <w:rFonts w:ascii="Times New Roman" w:eastAsia="Times New Roman" w:hAnsi="Times New Roman" w:cs="Times New Roman"/>
        </w:rPr>
        <w:t>, a hyperlink is the “digital equivalent of giving the recipient driving directions to another website on the internet.”</w:t>
      </w:r>
      <w:r>
        <w:rPr>
          <w:rFonts w:ascii="Times New Roman" w:eastAsia="Times New Roman" w:hAnsi="Times New Roman" w:cs="Times New Roman"/>
          <w:vertAlign w:val="superscript"/>
        </w:rPr>
        <w:footnoteReference w:id="14"/>
      </w:r>
      <w:r>
        <w:rPr>
          <w:rFonts w:ascii="Times New Roman" w:eastAsia="Times New Roman" w:hAnsi="Times New Roman" w:cs="Times New Roman"/>
        </w:rPr>
        <w:t xml:space="preserve">  </w:t>
      </w:r>
    </w:p>
    <w:p w14:paraId="00000016"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Photos that are em</w:t>
      </w:r>
      <w:r>
        <w:rPr>
          <w:rFonts w:ascii="Times New Roman" w:eastAsia="Times New Roman" w:hAnsi="Times New Roman" w:cs="Times New Roman"/>
        </w:rPr>
        <w:t>bedded on websites and social media through in-line linking are seamless such that viewers “would not realize that the image actually resided on another website.”</w:t>
      </w:r>
      <w:r>
        <w:rPr>
          <w:rFonts w:ascii="Times New Roman" w:eastAsia="Times New Roman" w:hAnsi="Times New Roman" w:cs="Times New Roman"/>
          <w:vertAlign w:val="superscript"/>
        </w:rPr>
        <w:footnoteReference w:id="15"/>
      </w:r>
      <w:r>
        <w:rPr>
          <w:rFonts w:ascii="Times New Roman" w:eastAsia="Times New Roman" w:hAnsi="Times New Roman" w:cs="Times New Roman"/>
        </w:rPr>
        <w:t xml:space="preserve">  Photos can be embedded directly onto social media feeds by account holders, or account hol</w:t>
      </w:r>
      <w:r>
        <w:rPr>
          <w:rFonts w:ascii="Times New Roman" w:eastAsia="Times New Roman" w:hAnsi="Times New Roman" w:cs="Times New Roman"/>
        </w:rPr>
        <w:t xml:space="preserve">ders can embed photos that are taken by other account holders and displayed on the same social media platform (“intra-network </w:t>
      </w:r>
      <w:r>
        <w:rPr>
          <w:rFonts w:ascii="Times New Roman" w:eastAsia="Times New Roman" w:hAnsi="Times New Roman" w:cs="Times New Roman"/>
        </w:rPr>
        <w:lastRenderedPageBreak/>
        <w:t>sharing”).  Alternatively, third parties can also embed a photo on non-platform websites if the original source photo was publicly</w:t>
      </w:r>
      <w:r>
        <w:rPr>
          <w:rFonts w:ascii="Times New Roman" w:eastAsia="Times New Roman" w:hAnsi="Times New Roman" w:cs="Times New Roman"/>
        </w:rPr>
        <w:t xml:space="preserve"> posted on a social media platform (“off-platform sharing”).</w:t>
      </w:r>
      <w:r>
        <w:rPr>
          <w:rFonts w:ascii="Times New Roman" w:eastAsia="Times New Roman" w:hAnsi="Times New Roman" w:cs="Times New Roman"/>
          <w:vertAlign w:val="superscript"/>
        </w:rPr>
        <w:footnoteReference w:id="16"/>
      </w:r>
      <w:r>
        <w:rPr>
          <w:rFonts w:ascii="Times New Roman" w:eastAsia="Times New Roman" w:hAnsi="Times New Roman" w:cs="Times New Roman"/>
        </w:rPr>
        <w:t xml:space="preserve">  </w:t>
      </w:r>
    </w:p>
    <w:p w14:paraId="00000017"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On platforms, such as Facebook and Twitter, the technical process of embedding has been simplified to facilitate “sharing.”  This process generally consists of the following basic steps: gene</w:t>
      </w:r>
      <w:r>
        <w:rPr>
          <w:rFonts w:ascii="Times New Roman" w:eastAsia="Times New Roman" w:hAnsi="Times New Roman" w:cs="Times New Roman"/>
        </w:rPr>
        <w:t>rate the embed code (or block of HTML code) for the desired image by clicking a platform’s “embed” or “share” button, copy the embed code, and paste the embed code in the destination website, typically through an “embed API” (“application programming inter</w:t>
      </w:r>
      <w:r>
        <w:rPr>
          <w:rFonts w:ascii="Times New Roman" w:eastAsia="Times New Roman" w:hAnsi="Times New Roman" w:cs="Times New Roman"/>
        </w:rPr>
        <w:t>face”).</w:t>
      </w:r>
      <w:r>
        <w:rPr>
          <w:rFonts w:ascii="Times New Roman" w:eastAsia="Times New Roman" w:hAnsi="Times New Roman" w:cs="Times New Roman"/>
          <w:vertAlign w:val="superscript"/>
        </w:rPr>
        <w:footnoteReference w:id="17"/>
      </w:r>
      <w:r>
        <w:rPr>
          <w:rFonts w:ascii="Times New Roman" w:eastAsia="Times New Roman" w:hAnsi="Times New Roman" w:cs="Times New Roman"/>
        </w:rPr>
        <w:t xml:space="preserve">  The process is intuitive and does not require proficiency in programming.   </w:t>
      </w:r>
    </w:p>
    <w:p w14:paraId="00000018" w14:textId="77777777" w:rsidR="00FC13B3" w:rsidRDefault="00E0033E">
      <w:pPr>
        <w:spacing w:line="360" w:lineRule="auto"/>
        <w:rPr>
          <w:rFonts w:ascii="Times New Roman" w:eastAsia="Times New Roman" w:hAnsi="Times New Roman" w:cs="Times New Roman"/>
        </w:rPr>
      </w:pPr>
      <w:r>
        <w:rPr>
          <w:rFonts w:ascii="Times New Roman" w:eastAsia="Times New Roman" w:hAnsi="Times New Roman" w:cs="Times New Roman"/>
        </w:rPr>
        <w:tab/>
        <w:t>Instagram, however, has historically been more conservative in providing users the ability to widely disseminate content published on its platform.  In 2013, for examp</w:t>
      </w:r>
      <w:r>
        <w:rPr>
          <w:rFonts w:ascii="Times New Roman" w:eastAsia="Times New Roman" w:hAnsi="Times New Roman" w:cs="Times New Roman"/>
        </w:rPr>
        <w:t>le, Instagram disabled photo integration with Twitter, which prevented Instagram photos from appearing in Tweets.  Instagram’s decision also required Twitter users to post hyperlinks to Instagram photos instead of directly embedding the photo.</w:t>
      </w:r>
      <w:r>
        <w:rPr>
          <w:rFonts w:ascii="Times New Roman" w:eastAsia="Times New Roman" w:hAnsi="Times New Roman" w:cs="Times New Roman"/>
          <w:vertAlign w:val="superscript"/>
        </w:rPr>
        <w:footnoteReference w:id="18"/>
      </w:r>
      <w:r>
        <w:rPr>
          <w:rFonts w:ascii="Times New Roman" w:eastAsia="Times New Roman" w:hAnsi="Times New Roman" w:cs="Times New Roman"/>
        </w:rPr>
        <w:t xml:space="preserve">  </w:t>
      </w:r>
      <w:r>
        <w:rPr>
          <w:rFonts w:ascii="Times New Roman" w:eastAsia="Times New Roman" w:hAnsi="Times New Roman" w:cs="Times New Roman"/>
        </w:rPr>
        <w:t xml:space="preserve">      </w:t>
      </w:r>
    </w:p>
    <w:p w14:paraId="00000019" w14:textId="77777777" w:rsidR="00FC13B3" w:rsidRDefault="00FC13B3">
      <w:pPr>
        <w:spacing w:line="360" w:lineRule="auto"/>
        <w:rPr>
          <w:rFonts w:ascii="Times New Roman" w:eastAsia="Times New Roman" w:hAnsi="Times New Roman" w:cs="Times New Roman"/>
        </w:rPr>
      </w:pPr>
    </w:p>
    <w:p w14:paraId="0000001A" w14:textId="77777777" w:rsidR="00FC13B3" w:rsidRDefault="00E0033E">
      <w:pPr>
        <w:numPr>
          <w:ilvl w:val="0"/>
          <w:numId w:val="1"/>
        </w:numPr>
        <w:rPr>
          <w:rFonts w:ascii="Times New Roman" w:eastAsia="Times New Roman" w:hAnsi="Times New Roman" w:cs="Times New Roman"/>
          <w:b/>
        </w:rPr>
      </w:pPr>
      <w:r>
        <w:rPr>
          <w:rFonts w:ascii="Times New Roman" w:eastAsia="Times New Roman" w:hAnsi="Times New Roman" w:cs="Times New Roman"/>
          <w:b/>
        </w:rPr>
        <w:t xml:space="preserve">THE POWER IMBALANCE OF SOCIAL MEDIA INFLUENCE  </w:t>
      </w:r>
    </w:p>
    <w:p w14:paraId="0000001B" w14:textId="77777777" w:rsidR="00FC13B3" w:rsidRDefault="00E0033E">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p>
    <w:p w14:paraId="0000001C" w14:textId="77777777" w:rsidR="00FC13B3" w:rsidRDefault="00E0033E">
      <w:pPr>
        <w:spacing w:line="360" w:lineRule="auto"/>
        <w:rPr>
          <w:rFonts w:ascii="Times New Roman" w:eastAsia="Times New Roman" w:hAnsi="Times New Roman" w:cs="Times New Roman"/>
        </w:rPr>
      </w:pPr>
      <w:r>
        <w:rPr>
          <w:rFonts w:ascii="Times New Roman" w:eastAsia="Times New Roman" w:hAnsi="Times New Roman" w:cs="Times New Roman"/>
        </w:rPr>
        <w:tab/>
        <w:t>The influence and power of social media platforms is undeniable, and some, like Facebook, have been subjected to accusations by Congress that their market positions are anti-competitive and harmful</w:t>
      </w:r>
      <w:r>
        <w:rPr>
          <w:rFonts w:ascii="Times New Roman" w:eastAsia="Times New Roman" w:hAnsi="Times New Roman" w:cs="Times New Roman"/>
        </w:rPr>
        <w:t xml:space="preserve"> to consumers.</w:t>
      </w:r>
      <w:r>
        <w:rPr>
          <w:rFonts w:ascii="Times New Roman" w:eastAsia="Times New Roman" w:hAnsi="Times New Roman" w:cs="Times New Roman"/>
          <w:vertAlign w:val="superscript"/>
        </w:rPr>
        <w:footnoteReference w:id="19"/>
      </w:r>
      <w:r>
        <w:rPr>
          <w:rFonts w:ascii="Times New Roman" w:eastAsia="Times New Roman" w:hAnsi="Times New Roman" w:cs="Times New Roman"/>
        </w:rPr>
        <w:t xml:space="preserve">  In particular, professional photographers, who rely on the unparalleled marketing and network services offered by the platforms, have no bargaining power and must accept a platform’s terms of use despite the fact that some terms are count</w:t>
      </w:r>
      <w:r>
        <w:rPr>
          <w:rFonts w:ascii="Times New Roman" w:eastAsia="Times New Roman" w:hAnsi="Times New Roman" w:cs="Times New Roman"/>
        </w:rPr>
        <w:t xml:space="preserve">erintuitive to their rights in copyright and detrimental to market opportunities and financial security.  </w:t>
      </w:r>
    </w:p>
    <w:p w14:paraId="0000001D"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Professional photographers need platforms like Instagram to showcase their work and make a living.  Over 1 billion people worldwide interact with Ins</w:t>
      </w:r>
      <w:r>
        <w:rPr>
          <w:rFonts w:ascii="Times New Roman" w:eastAsia="Times New Roman" w:hAnsi="Times New Roman" w:cs="Times New Roman"/>
        </w:rPr>
        <w:t>tagram on a monthly basis, which means that photographers gain access to a mass market of individuals who share an appreciation for their craft.</w:t>
      </w:r>
      <w:r>
        <w:rPr>
          <w:rFonts w:ascii="Times New Roman" w:eastAsia="Times New Roman" w:hAnsi="Times New Roman" w:cs="Times New Roman"/>
          <w:vertAlign w:val="superscript"/>
        </w:rPr>
        <w:footnoteReference w:id="20"/>
      </w:r>
      <w:r>
        <w:rPr>
          <w:rFonts w:ascii="Times New Roman" w:eastAsia="Times New Roman" w:hAnsi="Times New Roman" w:cs="Times New Roman"/>
        </w:rPr>
        <w:t xml:space="preserve">  Using Instagram to display and market creative work to viewers worldwide is quick, easy, and affordable.  Al</w:t>
      </w:r>
      <w:r>
        <w:rPr>
          <w:rFonts w:ascii="Times New Roman" w:eastAsia="Times New Roman" w:hAnsi="Times New Roman" w:cs="Times New Roman"/>
        </w:rPr>
        <w:t>ternative options are unattractive and include paying expensive fees for a developer to build a custom website, sharing revenue with a gallery due to commission fees, and hiring a marketing firm to find prospective buyers.  Instead, social media platforms,</w:t>
      </w:r>
      <w:r>
        <w:rPr>
          <w:rFonts w:ascii="Times New Roman" w:eastAsia="Times New Roman" w:hAnsi="Times New Roman" w:cs="Times New Roman"/>
        </w:rPr>
        <w:t xml:space="preserve"> like Instagram, empower professional photographers to post and reshare photographs with minimal startup costs by virtue of embedding functionality.  </w:t>
      </w:r>
    </w:p>
    <w:p w14:paraId="0000001E"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lastRenderedPageBreak/>
        <w:t>Because of these features, professional photographers must agree to certain unsavory terms, such as grant</w:t>
      </w:r>
      <w:r>
        <w:rPr>
          <w:rFonts w:ascii="Times New Roman" w:eastAsia="Times New Roman" w:hAnsi="Times New Roman" w:cs="Times New Roman"/>
        </w:rPr>
        <w:t>ing the platform a license to display, modify, and create derivative works of content posted on Instagram and even the right to sublicense content.  In doing so, professional photographers lose creative control over their work in exchange for access to Ins</w:t>
      </w:r>
      <w:r>
        <w:rPr>
          <w:rFonts w:ascii="Times New Roman" w:eastAsia="Times New Roman" w:hAnsi="Times New Roman" w:cs="Times New Roman"/>
        </w:rPr>
        <w:t xml:space="preserve">tagram’s global marketplace of viewers.  Significant royalties are also lost by the inability to enforce infringement, especially in some foreign countries.  The Second Circuit in </w:t>
      </w:r>
      <w:r>
        <w:rPr>
          <w:rFonts w:ascii="Times New Roman" w:eastAsia="Times New Roman" w:hAnsi="Times New Roman" w:cs="Times New Roman"/>
          <w:i/>
        </w:rPr>
        <w:t>Sinclair</w:t>
      </w:r>
      <w:r>
        <w:rPr>
          <w:rFonts w:ascii="Times New Roman" w:eastAsia="Times New Roman" w:hAnsi="Times New Roman" w:cs="Times New Roman"/>
        </w:rPr>
        <w:t xml:space="preserve"> acknowledged the dilemma that professional photographers face given</w:t>
      </w:r>
      <w:r>
        <w:rPr>
          <w:rFonts w:ascii="Times New Roman" w:eastAsia="Times New Roman" w:hAnsi="Times New Roman" w:cs="Times New Roman"/>
        </w:rPr>
        <w:t xml:space="preserve"> Instagram’s dominance in the photo-sharing social media space and the “expansive transfer of rights that Instagram demands from its users.”      </w:t>
      </w:r>
    </w:p>
    <w:p w14:paraId="0000001F" w14:textId="77777777" w:rsidR="00FC13B3" w:rsidRDefault="00FC13B3">
      <w:pPr>
        <w:rPr>
          <w:rFonts w:ascii="Times New Roman" w:eastAsia="Times New Roman" w:hAnsi="Times New Roman" w:cs="Times New Roman"/>
        </w:rPr>
      </w:pPr>
    </w:p>
    <w:p w14:paraId="00000020" w14:textId="77777777" w:rsidR="00FC13B3" w:rsidRDefault="00E0033E">
      <w:pPr>
        <w:jc w:val="center"/>
        <w:rPr>
          <w:rFonts w:ascii="Times New Roman" w:eastAsia="Times New Roman" w:hAnsi="Times New Roman" w:cs="Times New Roman"/>
          <w:b/>
        </w:rPr>
      </w:pPr>
      <w:r>
        <w:rPr>
          <w:rFonts w:ascii="Times New Roman" w:eastAsia="Times New Roman" w:hAnsi="Times New Roman" w:cs="Times New Roman"/>
          <w:b/>
        </w:rPr>
        <w:t>PART II: HOW THE LAW SHIELDS EMBEDDERS FROM INFRINGEMENT OF THE DISPLAY RIGHT</w:t>
      </w:r>
    </w:p>
    <w:p w14:paraId="00000021" w14:textId="77777777" w:rsidR="00FC13B3" w:rsidRDefault="00FC13B3">
      <w:pPr>
        <w:ind w:left="720"/>
        <w:rPr>
          <w:rFonts w:ascii="Times New Roman" w:eastAsia="Times New Roman" w:hAnsi="Times New Roman" w:cs="Times New Roman"/>
        </w:rPr>
      </w:pPr>
    </w:p>
    <w:p w14:paraId="00000022" w14:textId="77777777" w:rsidR="00FC13B3" w:rsidRDefault="00E0033E">
      <w:pPr>
        <w:numPr>
          <w:ilvl w:val="0"/>
          <w:numId w:val="3"/>
        </w:numPr>
        <w:rPr>
          <w:rFonts w:ascii="Times New Roman" w:eastAsia="Times New Roman" w:hAnsi="Times New Roman" w:cs="Times New Roman"/>
          <w:b/>
        </w:rPr>
      </w:pPr>
      <w:r>
        <w:rPr>
          <w:rFonts w:ascii="Times New Roman" w:eastAsia="Times New Roman" w:hAnsi="Times New Roman" w:cs="Times New Roman"/>
          <w:b/>
        </w:rPr>
        <w:t xml:space="preserve">STATUTORY INFRINGEMENT OF THE DISPLAY RIGHT </w:t>
      </w:r>
    </w:p>
    <w:p w14:paraId="00000023" w14:textId="77777777" w:rsidR="00FC13B3" w:rsidRDefault="00FC13B3">
      <w:pPr>
        <w:ind w:left="720"/>
        <w:rPr>
          <w:rFonts w:ascii="Times New Roman" w:eastAsia="Times New Roman" w:hAnsi="Times New Roman" w:cs="Times New Roman"/>
          <w:b/>
        </w:rPr>
      </w:pPr>
    </w:p>
    <w:p w14:paraId="00000024"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Copyright infringement occurs when someone violates one or more of a copyright holder’s exclusive rights, which are enumerated in Section 106 of the Copyright Act.</w:t>
      </w:r>
      <w:r>
        <w:rPr>
          <w:rFonts w:ascii="Times New Roman" w:eastAsia="Times New Roman" w:hAnsi="Times New Roman" w:cs="Times New Roman"/>
          <w:vertAlign w:val="superscript"/>
        </w:rPr>
        <w:footnoteReference w:id="21"/>
      </w:r>
      <w:r>
        <w:rPr>
          <w:rFonts w:ascii="Times New Roman" w:eastAsia="Times New Roman" w:hAnsi="Times New Roman" w:cs="Times New Roman"/>
        </w:rPr>
        <w:t xml:space="preserve">  While all copyright holders are granted sim</w:t>
      </w:r>
      <w:r>
        <w:rPr>
          <w:rFonts w:ascii="Times New Roman" w:eastAsia="Times New Roman" w:hAnsi="Times New Roman" w:cs="Times New Roman"/>
        </w:rPr>
        <w:t xml:space="preserve">ilar rights, such as the right to copy, distribute, and create derivative works of the underlying copyrighted work, Section 106(5) specifically grants owners of “pictorial” or “graphic” works the exclusive right to </w:t>
      </w:r>
      <w:r>
        <w:rPr>
          <w:rFonts w:ascii="Times New Roman" w:eastAsia="Times New Roman" w:hAnsi="Times New Roman" w:cs="Times New Roman"/>
          <w:i/>
        </w:rPr>
        <w:t>display</w:t>
      </w:r>
      <w:r>
        <w:rPr>
          <w:rFonts w:ascii="Times New Roman" w:eastAsia="Times New Roman" w:hAnsi="Times New Roman" w:cs="Times New Roman"/>
        </w:rPr>
        <w:t xml:space="preserve"> their works publicly.</w:t>
      </w:r>
      <w:r>
        <w:rPr>
          <w:rFonts w:ascii="Times New Roman" w:eastAsia="Times New Roman" w:hAnsi="Times New Roman" w:cs="Times New Roman"/>
          <w:vertAlign w:val="superscript"/>
        </w:rPr>
        <w:footnoteReference w:id="22"/>
      </w:r>
      <w:r>
        <w:rPr>
          <w:rFonts w:ascii="Times New Roman" w:eastAsia="Times New Roman" w:hAnsi="Times New Roman" w:cs="Times New Roman"/>
        </w:rPr>
        <w:t xml:space="preserve">  </w:t>
      </w:r>
    </w:p>
    <w:p w14:paraId="00000025"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To disp</w:t>
      </w:r>
      <w:r>
        <w:rPr>
          <w:rFonts w:ascii="Times New Roman" w:eastAsia="Times New Roman" w:hAnsi="Times New Roman" w:cs="Times New Roman"/>
        </w:rPr>
        <w:t>lay a work is a term of art under the Copyright Act, defined as “show[</w:t>
      </w:r>
      <w:proofErr w:type="spellStart"/>
      <w:r>
        <w:rPr>
          <w:rFonts w:ascii="Times New Roman" w:eastAsia="Times New Roman" w:hAnsi="Times New Roman" w:cs="Times New Roman"/>
        </w:rPr>
        <w:t>ing</w:t>
      </w:r>
      <w:proofErr w:type="spellEnd"/>
      <w:r>
        <w:rPr>
          <w:rFonts w:ascii="Times New Roman" w:eastAsia="Times New Roman" w:hAnsi="Times New Roman" w:cs="Times New Roman"/>
        </w:rPr>
        <w:t>] a copy of [the work], either directly or by means of a film, slide, television image, or any other device or process [...].”</w:t>
      </w:r>
      <w:r>
        <w:rPr>
          <w:rFonts w:ascii="Times New Roman" w:eastAsia="Times New Roman" w:hAnsi="Times New Roman" w:cs="Times New Roman"/>
          <w:vertAlign w:val="superscript"/>
        </w:rPr>
        <w:footnoteReference w:id="23"/>
      </w:r>
      <w:r>
        <w:rPr>
          <w:rFonts w:ascii="Times New Roman" w:eastAsia="Times New Roman" w:hAnsi="Times New Roman" w:cs="Times New Roman"/>
        </w:rPr>
        <w:t xml:space="preserve">  Although “copy” has two predominant meanings in the d</w:t>
      </w:r>
      <w:r>
        <w:rPr>
          <w:rFonts w:ascii="Times New Roman" w:eastAsia="Times New Roman" w:hAnsi="Times New Roman" w:cs="Times New Roman"/>
        </w:rPr>
        <w:t>ictionary, including (1) a duplication or reproduction; and (2) a single version or example,</w:t>
      </w:r>
      <w:r>
        <w:rPr>
          <w:rFonts w:ascii="Times New Roman" w:eastAsia="Times New Roman" w:hAnsi="Times New Roman" w:cs="Times New Roman"/>
          <w:vertAlign w:val="superscript"/>
        </w:rPr>
        <w:footnoteReference w:id="24"/>
      </w:r>
      <w:r>
        <w:rPr>
          <w:rFonts w:ascii="Times New Roman" w:eastAsia="Times New Roman" w:hAnsi="Times New Roman" w:cs="Times New Roman"/>
        </w:rPr>
        <w:t xml:space="preserve"> Congress avoided confusion in interpretation by directly defining “copies” in Section 101 of the Copyright Act:</w:t>
      </w:r>
    </w:p>
    <w:p w14:paraId="00000026" w14:textId="77777777" w:rsidR="00FC13B3" w:rsidRDefault="00FC13B3">
      <w:pPr>
        <w:spacing w:line="360" w:lineRule="auto"/>
        <w:ind w:firstLine="720"/>
        <w:rPr>
          <w:rFonts w:ascii="Times New Roman" w:eastAsia="Times New Roman" w:hAnsi="Times New Roman" w:cs="Times New Roman"/>
        </w:rPr>
      </w:pPr>
    </w:p>
    <w:p w14:paraId="00000027" w14:textId="77777777" w:rsidR="00FC13B3" w:rsidRDefault="00E0033E">
      <w:pPr>
        <w:ind w:firstLine="720"/>
        <w:rPr>
          <w:rFonts w:ascii="Times New Roman" w:eastAsia="Times New Roman" w:hAnsi="Times New Roman" w:cs="Times New Roman"/>
        </w:rPr>
      </w:pPr>
      <w:r>
        <w:rPr>
          <w:rFonts w:ascii="Times New Roman" w:eastAsia="Times New Roman" w:hAnsi="Times New Roman" w:cs="Times New Roman"/>
        </w:rPr>
        <w:t>[copies are] material objects, other than phonor</w:t>
      </w:r>
      <w:r>
        <w:rPr>
          <w:rFonts w:ascii="Times New Roman" w:eastAsia="Times New Roman" w:hAnsi="Times New Roman" w:cs="Times New Roman"/>
        </w:rPr>
        <w:t xml:space="preserve">ecords, in which a work is fixed by any method </w:t>
      </w:r>
    </w:p>
    <w:p w14:paraId="00000028" w14:textId="77777777" w:rsidR="00FC13B3" w:rsidRDefault="00E0033E">
      <w:pPr>
        <w:ind w:firstLine="720"/>
        <w:rPr>
          <w:rFonts w:ascii="Times New Roman" w:eastAsia="Times New Roman" w:hAnsi="Times New Roman" w:cs="Times New Roman"/>
        </w:rPr>
      </w:pPr>
      <w:r>
        <w:rPr>
          <w:rFonts w:ascii="Times New Roman" w:eastAsia="Times New Roman" w:hAnsi="Times New Roman" w:cs="Times New Roman"/>
        </w:rPr>
        <w:t xml:space="preserve">now known or later developed, and from which the work can be perceived, reproduced, or </w:t>
      </w:r>
    </w:p>
    <w:p w14:paraId="00000029" w14:textId="77777777" w:rsidR="00FC13B3" w:rsidRDefault="00E0033E">
      <w:pPr>
        <w:ind w:firstLine="720"/>
        <w:rPr>
          <w:rFonts w:ascii="Times New Roman" w:eastAsia="Times New Roman" w:hAnsi="Times New Roman" w:cs="Times New Roman"/>
        </w:rPr>
      </w:pPr>
      <w:r>
        <w:rPr>
          <w:rFonts w:ascii="Times New Roman" w:eastAsia="Times New Roman" w:hAnsi="Times New Roman" w:cs="Times New Roman"/>
        </w:rPr>
        <w:t>otherwise communicated, either directly or with the aid of a machine or device.</w:t>
      </w:r>
      <w:r>
        <w:rPr>
          <w:rFonts w:ascii="Times New Roman" w:eastAsia="Times New Roman" w:hAnsi="Times New Roman" w:cs="Times New Roman"/>
          <w:vertAlign w:val="superscript"/>
        </w:rPr>
        <w:footnoteReference w:id="25"/>
      </w:r>
      <w:r>
        <w:rPr>
          <w:rFonts w:ascii="Times New Roman" w:eastAsia="Times New Roman" w:hAnsi="Times New Roman" w:cs="Times New Roman"/>
        </w:rPr>
        <w:t xml:space="preserve">  </w:t>
      </w:r>
    </w:p>
    <w:p w14:paraId="0000002A" w14:textId="77777777" w:rsidR="00FC13B3" w:rsidRDefault="00E0033E">
      <w:pPr>
        <w:spacing w:line="360" w:lineRule="auto"/>
        <w:rPr>
          <w:rFonts w:ascii="Times New Roman" w:eastAsia="Times New Roman" w:hAnsi="Times New Roman" w:cs="Times New Roman"/>
        </w:rPr>
      </w:pPr>
      <w:r>
        <w:rPr>
          <w:rFonts w:ascii="Times New Roman" w:eastAsia="Times New Roman" w:hAnsi="Times New Roman" w:cs="Times New Roman"/>
        </w:rPr>
        <w:t>The Copyright Act also considers the</w:t>
      </w:r>
      <w:r>
        <w:rPr>
          <w:rFonts w:ascii="Times New Roman" w:eastAsia="Times New Roman" w:hAnsi="Times New Roman" w:cs="Times New Roman"/>
        </w:rPr>
        <w:t xml:space="preserve"> original work to fall under the definition of the term “copies.”</w:t>
      </w:r>
      <w:r>
        <w:rPr>
          <w:rFonts w:ascii="Times New Roman" w:eastAsia="Times New Roman" w:hAnsi="Times New Roman" w:cs="Times New Roman"/>
          <w:vertAlign w:val="superscript"/>
        </w:rPr>
        <w:footnoteReference w:id="26"/>
      </w:r>
    </w:p>
    <w:p w14:paraId="0000002B"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 xml:space="preserve">Common sense dictates whether a work is displayed or not.  Pursuant to the plain language of the statutory text, the work must be shown, and someone must perceive it.  Early case law that </w:t>
      </w:r>
      <w:r>
        <w:rPr>
          <w:rFonts w:ascii="Times New Roman" w:eastAsia="Times New Roman" w:hAnsi="Times New Roman" w:cs="Times New Roman"/>
        </w:rPr>
        <w:t xml:space="preserve">predates the </w:t>
      </w:r>
      <w:r>
        <w:rPr>
          <w:rFonts w:ascii="Times New Roman" w:eastAsia="Times New Roman" w:hAnsi="Times New Roman" w:cs="Times New Roman"/>
        </w:rPr>
        <w:lastRenderedPageBreak/>
        <w:t>internet age does not parse the statutory language in disputes that deal with displays in print publications, including magazines and billboards.</w:t>
      </w:r>
      <w:r>
        <w:rPr>
          <w:rFonts w:ascii="Times New Roman" w:eastAsia="Times New Roman" w:hAnsi="Times New Roman" w:cs="Times New Roman"/>
          <w:vertAlign w:val="superscript"/>
        </w:rPr>
        <w:footnoteReference w:id="27"/>
      </w:r>
      <w:r>
        <w:rPr>
          <w:rFonts w:ascii="Times New Roman" w:eastAsia="Times New Roman" w:hAnsi="Times New Roman" w:cs="Times New Roman"/>
        </w:rPr>
        <w:t xml:space="preserve">  </w:t>
      </w:r>
    </w:p>
    <w:p w14:paraId="0000002C" w14:textId="77777777" w:rsidR="00FC13B3" w:rsidRDefault="00E0033E">
      <w:pPr>
        <w:spacing w:line="360" w:lineRule="auto"/>
        <w:ind w:firstLine="720"/>
        <w:rPr>
          <w:rFonts w:ascii="Times New Roman" w:eastAsia="Times New Roman" w:hAnsi="Times New Roman" w:cs="Times New Roman"/>
          <w:b/>
        </w:rPr>
      </w:pPr>
      <w:r>
        <w:rPr>
          <w:rFonts w:ascii="Times New Roman" w:eastAsia="Times New Roman" w:hAnsi="Times New Roman" w:cs="Times New Roman"/>
        </w:rPr>
        <w:t xml:space="preserve">However, at the dawn of the internet era, the Ninth Circuit made technical distinctions with </w:t>
      </w:r>
      <w:r>
        <w:rPr>
          <w:rFonts w:ascii="Times New Roman" w:eastAsia="Times New Roman" w:hAnsi="Times New Roman" w:cs="Times New Roman"/>
        </w:rPr>
        <w:t>respect to displaying content on search engines that significantly shifted the way that courts think about infringement of the display right.  The display right also has been stretched to incorporate the exclusive right of authors to “make available” copyr</w:t>
      </w:r>
      <w:r>
        <w:rPr>
          <w:rFonts w:ascii="Times New Roman" w:eastAsia="Times New Roman" w:hAnsi="Times New Roman" w:cs="Times New Roman"/>
        </w:rPr>
        <w:t>ighted work in digital form due to the implementation of the Digital Millennium Copyright Act (DMCA), which was based on two WIPO internet-related treaties.</w:t>
      </w:r>
      <w:r>
        <w:rPr>
          <w:rFonts w:ascii="Times New Roman" w:eastAsia="Times New Roman" w:hAnsi="Times New Roman" w:cs="Times New Roman"/>
          <w:vertAlign w:val="superscript"/>
        </w:rPr>
        <w:footnoteReference w:id="28"/>
      </w:r>
      <w:r>
        <w:rPr>
          <w:rFonts w:ascii="Times New Roman" w:eastAsia="Times New Roman" w:hAnsi="Times New Roman" w:cs="Times New Roman"/>
        </w:rPr>
        <w:t xml:space="preserve">  No statutory references to this expansion of the display right were included in the DMCA, which </w:t>
      </w:r>
      <w:r>
        <w:rPr>
          <w:rFonts w:ascii="Times New Roman" w:eastAsia="Times New Roman" w:hAnsi="Times New Roman" w:cs="Times New Roman"/>
        </w:rPr>
        <w:t xml:space="preserve">cast doubt over the existence of the right.  Yet, Congress clarified this point by stating that domestic copyright rights sufficiently incorporate the right, and several trade deals affirming the “making available” right were proof of the viability of the </w:t>
      </w:r>
      <w:r>
        <w:rPr>
          <w:rFonts w:ascii="Times New Roman" w:eastAsia="Times New Roman" w:hAnsi="Times New Roman" w:cs="Times New Roman"/>
        </w:rPr>
        <w:t>right.</w:t>
      </w:r>
      <w:r>
        <w:rPr>
          <w:rFonts w:ascii="Times New Roman" w:eastAsia="Times New Roman" w:hAnsi="Times New Roman" w:cs="Times New Roman"/>
          <w:vertAlign w:val="superscript"/>
        </w:rPr>
        <w:footnoteReference w:id="29"/>
      </w:r>
      <w:r>
        <w:rPr>
          <w:rFonts w:ascii="Times New Roman" w:eastAsia="Times New Roman" w:hAnsi="Times New Roman" w:cs="Times New Roman"/>
          <w:highlight w:val="yellow"/>
        </w:rPr>
        <w:t xml:space="preserve">   </w:t>
      </w:r>
    </w:p>
    <w:p w14:paraId="0000002D" w14:textId="77777777" w:rsidR="00FC13B3" w:rsidRDefault="00FC13B3">
      <w:pPr>
        <w:ind w:left="720"/>
        <w:rPr>
          <w:rFonts w:ascii="Times New Roman" w:eastAsia="Times New Roman" w:hAnsi="Times New Roman" w:cs="Times New Roman"/>
          <w:b/>
        </w:rPr>
      </w:pPr>
    </w:p>
    <w:p w14:paraId="0000002E" w14:textId="77777777" w:rsidR="00FC13B3" w:rsidRDefault="00E0033E">
      <w:pPr>
        <w:numPr>
          <w:ilvl w:val="0"/>
          <w:numId w:val="3"/>
        </w:numPr>
        <w:rPr>
          <w:rFonts w:ascii="Times New Roman" w:eastAsia="Times New Roman" w:hAnsi="Times New Roman" w:cs="Times New Roman"/>
          <w:b/>
        </w:rPr>
      </w:pPr>
      <w:r>
        <w:rPr>
          <w:rFonts w:ascii="Times New Roman" w:eastAsia="Times New Roman" w:hAnsi="Times New Roman" w:cs="Times New Roman"/>
          <w:b/>
        </w:rPr>
        <w:t>INFRINGEMENT OF THE DISPLAY RIGHT BEFORE THE NINTH CIRCUIT’S SERVER TEST</w:t>
      </w:r>
    </w:p>
    <w:p w14:paraId="0000002F" w14:textId="77777777" w:rsidR="00FC13B3" w:rsidRDefault="00FC13B3">
      <w:pPr>
        <w:ind w:left="720"/>
        <w:rPr>
          <w:rFonts w:ascii="Times New Roman" w:eastAsia="Times New Roman" w:hAnsi="Times New Roman" w:cs="Times New Roman"/>
          <w:b/>
        </w:rPr>
      </w:pPr>
    </w:p>
    <w:p w14:paraId="00000030"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Technological advancement has upended legal theories at the intersection of copyright and infringement.  For example, cases that deal with the unauthorized display of copyrighted works on search engines and websites have given courts novel questions to ans</w:t>
      </w:r>
      <w:r>
        <w:rPr>
          <w:rFonts w:ascii="Times New Roman" w:eastAsia="Times New Roman" w:hAnsi="Times New Roman" w:cs="Times New Roman"/>
        </w:rPr>
        <w:t xml:space="preserve">wer.       </w:t>
      </w:r>
    </w:p>
    <w:p w14:paraId="00000031"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In 1999, when the internet was still called the “Information Superhighway,” internet search engines were discovering new ways to deliver content to users with the click of a button, and visual images were popular search queries.</w:t>
      </w:r>
      <w:r>
        <w:rPr>
          <w:rFonts w:ascii="Times New Roman" w:eastAsia="Times New Roman" w:hAnsi="Times New Roman" w:cs="Times New Roman"/>
          <w:vertAlign w:val="superscript"/>
        </w:rPr>
        <w:footnoteReference w:id="30"/>
      </w:r>
      <w:r>
        <w:rPr>
          <w:rFonts w:ascii="Times New Roman" w:eastAsia="Times New Roman" w:hAnsi="Times New Roman" w:cs="Times New Roman"/>
        </w:rPr>
        <w:t xml:space="preserve">  One of the first cases to surface during this era was </w:t>
      </w:r>
      <w:r>
        <w:rPr>
          <w:rFonts w:ascii="Times New Roman" w:eastAsia="Times New Roman" w:hAnsi="Times New Roman" w:cs="Times New Roman"/>
          <w:i/>
        </w:rPr>
        <w:t>Kelly v. Arriba Soft Corp.</w:t>
      </w:r>
      <w:r>
        <w:rPr>
          <w:rFonts w:ascii="Times New Roman" w:eastAsia="Times New Roman" w:hAnsi="Times New Roman" w:cs="Times New Roman"/>
        </w:rPr>
        <w:t>, a legal dispute over whether Arriba Vista Image Searcher, a search engine, could display thumbnail and full-size images of copyrighted works to users under the fair use doc</w:t>
      </w:r>
      <w:r>
        <w:rPr>
          <w:rFonts w:ascii="Times New Roman" w:eastAsia="Times New Roman" w:hAnsi="Times New Roman" w:cs="Times New Roman"/>
        </w:rPr>
        <w:t>trine pursuant to Section 107 of the Copyright Act.  The plaintiff in the case was a photographer specializing in photographs related to American pioneer woman Laura Ingalls Wilder and California gold-rush country.  As a matter of first impression, the dis</w:t>
      </w:r>
      <w:r>
        <w:rPr>
          <w:rFonts w:ascii="Times New Roman" w:eastAsia="Times New Roman" w:hAnsi="Times New Roman" w:cs="Times New Roman"/>
        </w:rPr>
        <w:t xml:space="preserve">trict court in </w:t>
      </w:r>
      <w:r>
        <w:rPr>
          <w:rFonts w:ascii="Times New Roman" w:eastAsia="Times New Roman" w:hAnsi="Times New Roman" w:cs="Times New Roman"/>
          <w:i/>
        </w:rPr>
        <w:t>Kelly</w:t>
      </w:r>
      <w:r>
        <w:rPr>
          <w:rFonts w:ascii="Times New Roman" w:eastAsia="Times New Roman" w:hAnsi="Times New Roman" w:cs="Times New Roman"/>
        </w:rPr>
        <w:t xml:space="preserve"> held that the search engine’s display of both thumbnail and full-size images was a prima facie copyright violation.</w:t>
      </w:r>
      <w:r>
        <w:rPr>
          <w:rFonts w:ascii="Times New Roman" w:eastAsia="Times New Roman" w:hAnsi="Times New Roman" w:cs="Times New Roman"/>
          <w:vertAlign w:val="superscript"/>
        </w:rPr>
        <w:footnoteReference w:id="31"/>
      </w:r>
      <w:r>
        <w:rPr>
          <w:rFonts w:ascii="Times New Roman" w:eastAsia="Times New Roman" w:hAnsi="Times New Roman" w:cs="Times New Roman"/>
        </w:rPr>
        <w:t xml:space="preserve">  The ruling was common sense.  Images were visually displayed on the search engine’s website.  Images were also capab</w:t>
      </w:r>
      <w:r>
        <w:rPr>
          <w:rFonts w:ascii="Times New Roman" w:eastAsia="Times New Roman" w:hAnsi="Times New Roman" w:cs="Times New Roman"/>
        </w:rPr>
        <w:t xml:space="preserve">le of being </w:t>
      </w:r>
      <w:r>
        <w:rPr>
          <w:rFonts w:ascii="Times New Roman" w:eastAsia="Times New Roman" w:hAnsi="Times New Roman" w:cs="Times New Roman"/>
        </w:rPr>
        <w:lastRenderedPageBreak/>
        <w:t>perceived by public viewers.  The court came to its conclusion without agonizing over the complex technical formalities of how the images came to be displayed on the website.</w:t>
      </w:r>
      <w:r>
        <w:rPr>
          <w:rFonts w:ascii="Times New Roman" w:eastAsia="Times New Roman" w:hAnsi="Times New Roman" w:cs="Times New Roman"/>
          <w:vertAlign w:val="superscript"/>
        </w:rPr>
        <w:footnoteReference w:id="32"/>
      </w:r>
      <w:r>
        <w:rPr>
          <w:rFonts w:ascii="Times New Roman" w:eastAsia="Times New Roman" w:hAnsi="Times New Roman" w:cs="Times New Roman"/>
        </w:rPr>
        <w:t xml:space="preserve">  On appeal, the Ninth Circuit affirmed the holding for thumbnail ph</w:t>
      </w:r>
      <w:r>
        <w:rPr>
          <w:rFonts w:ascii="Times New Roman" w:eastAsia="Times New Roman" w:hAnsi="Times New Roman" w:cs="Times New Roman"/>
        </w:rPr>
        <w:t xml:space="preserve">otos, but reversed the lower court’s decision that a search engine’s display of full-size images was a prima facie copyright violation.  The appellate decision was based on procedural grounds.   </w:t>
      </w:r>
    </w:p>
    <w:p w14:paraId="00000032"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 xml:space="preserve">Notably, the Ninth Circuit took two cracks at the </w:t>
      </w:r>
      <w:r>
        <w:rPr>
          <w:rFonts w:ascii="Times New Roman" w:eastAsia="Times New Roman" w:hAnsi="Times New Roman" w:cs="Times New Roman"/>
          <w:i/>
        </w:rPr>
        <w:t>Kelly</w:t>
      </w:r>
      <w:r>
        <w:rPr>
          <w:rFonts w:ascii="Times New Roman" w:eastAsia="Times New Roman" w:hAnsi="Times New Roman" w:cs="Times New Roman"/>
        </w:rPr>
        <w:t xml:space="preserve"> case</w:t>
      </w:r>
      <w:r>
        <w:rPr>
          <w:rFonts w:ascii="Times New Roman" w:eastAsia="Times New Roman" w:hAnsi="Times New Roman" w:cs="Times New Roman"/>
        </w:rPr>
        <w:t xml:space="preserve">.  The Ninth Circuit’s earlier </w:t>
      </w:r>
      <w:r>
        <w:rPr>
          <w:rFonts w:ascii="Times New Roman" w:eastAsia="Times New Roman" w:hAnsi="Times New Roman" w:cs="Times New Roman"/>
          <w:i/>
        </w:rPr>
        <w:t>Kelly</w:t>
      </w:r>
      <w:r>
        <w:rPr>
          <w:rFonts w:ascii="Times New Roman" w:eastAsia="Times New Roman" w:hAnsi="Times New Roman" w:cs="Times New Roman"/>
        </w:rPr>
        <w:t xml:space="preserve"> opinion, published in 2002 and later withdrawn by the court, deserves attention even though the opinion cannot be cited as precedent.  The 2002 reasoning foreshadows events that will take place in 2020.     </w:t>
      </w:r>
    </w:p>
    <w:p w14:paraId="00000033"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As a matter</w:t>
      </w:r>
      <w:r>
        <w:rPr>
          <w:rFonts w:ascii="Times New Roman" w:eastAsia="Times New Roman" w:hAnsi="Times New Roman" w:cs="Times New Roman"/>
        </w:rPr>
        <w:t xml:space="preserve"> of first impression, the Ninth Circuit concluded in 2002 that the importation of the plaintiff’s images on the search engine’s website (through the technical process of framing and inline linking) infringed the plaintiff’s display right.  The Ninth Circui</w:t>
      </w:r>
      <w:r>
        <w:rPr>
          <w:rFonts w:ascii="Times New Roman" w:eastAsia="Times New Roman" w:hAnsi="Times New Roman" w:cs="Times New Roman"/>
        </w:rPr>
        <w:t>t discussed the technical processes of inline linking and framing at a very high-level, and in doing so, reminded readers of Congress’s emphasis on the “broad nature of the display right” such that the Copyright Act could accommodate the changes associated</w:t>
      </w:r>
      <w:r>
        <w:rPr>
          <w:rFonts w:ascii="Times New Roman" w:eastAsia="Times New Roman" w:hAnsi="Times New Roman" w:cs="Times New Roman"/>
        </w:rPr>
        <w:t xml:space="preserve"> with new and unforeseen technologies.</w:t>
      </w:r>
      <w:r>
        <w:rPr>
          <w:rFonts w:ascii="Times New Roman" w:eastAsia="Times New Roman" w:hAnsi="Times New Roman" w:cs="Times New Roman"/>
          <w:vertAlign w:val="superscript"/>
        </w:rPr>
        <w:footnoteReference w:id="33"/>
      </w:r>
      <w:r>
        <w:rPr>
          <w:rFonts w:ascii="Times New Roman" w:eastAsia="Times New Roman" w:hAnsi="Times New Roman" w:cs="Times New Roman"/>
        </w:rPr>
        <w:t xml:space="preserve">  In reaching its conclusion, the Ninth Circuit delivered a simple and clear analysis:</w:t>
      </w:r>
    </w:p>
    <w:p w14:paraId="00000034" w14:textId="77777777" w:rsidR="00FC13B3" w:rsidRDefault="00FC13B3">
      <w:pPr>
        <w:spacing w:line="360" w:lineRule="auto"/>
        <w:ind w:firstLine="720"/>
        <w:rPr>
          <w:rFonts w:ascii="Times New Roman" w:eastAsia="Times New Roman" w:hAnsi="Times New Roman" w:cs="Times New Roman"/>
        </w:rPr>
      </w:pPr>
    </w:p>
    <w:p w14:paraId="00000035" w14:textId="77777777" w:rsidR="00FC13B3" w:rsidRDefault="00E0033E">
      <w:pPr>
        <w:ind w:left="720"/>
        <w:rPr>
          <w:rFonts w:ascii="Times New Roman" w:eastAsia="Times New Roman" w:hAnsi="Times New Roman" w:cs="Times New Roman"/>
        </w:rPr>
      </w:pPr>
      <w:r>
        <w:rPr>
          <w:rFonts w:ascii="Times New Roman" w:eastAsia="Times New Roman" w:hAnsi="Times New Roman" w:cs="Times New Roman"/>
        </w:rPr>
        <w:t xml:space="preserve">The Copyright Act defines “display” as showing a copy of a work.  This would seem to </w:t>
      </w:r>
    </w:p>
    <w:p w14:paraId="00000036" w14:textId="77777777" w:rsidR="00FC13B3" w:rsidRDefault="00E0033E">
      <w:pPr>
        <w:ind w:left="720"/>
        <w:rPr>
          <w:rFonts w:ascii="Times New Roman" w:eastAsia="Times New Roman" w:hAnsi="Times New Roman" w:cs="Times New Roman"/>
        </w:rPr>
      </w:pPr>
      <w:r>
        <w:rPr>
          <w:rFonts w:ascii="Times New Roman" w:eastAsia="Times New Roman" w:hAnsi="Times New Roman" w:cs="Times New Roman"/>
        </w:rPr>
        <w:t>preclude Kelly from arguing that showing h</w:t>
      </w:r>
      <w:r>
        <w:rPr>
          <w:rFonts w:ascii="Times New Roman" w:eastAsia="Times New Roman" w:hAnsi="Times New Roman" w:cs="Times New Roman"/>
        </w:rPr>
        <w:t xml:space="preserve">is original images was an infringement.  [...]  </w:t>
      </w:r>
    </w:p>
    <w:p w14:paraId="00000037" w14:textId="77777777" w:rsidR="00FC13B3" w:rsidRDefault="00E0033E">
      <w:pPr>
        <w:ind w:left="720"/>
        <w:rPr>
          <w:rFonts w:ascii="Times New Roman" w:eastAsia="Times New Roman" w:hAnsi="Times New Roman" w:cs="Times New Roman"/>
        </w:rPr>
      </w:pPr>
      <w:r>
        <w:rPr>
          <w:rFonts w:ascii="Times New Roman" w:eastAsia="Times New Roman" w:hAnsi="Times New Roman" w:cs="Times New Roman"/>
        </w:rPr>
        <w:t>The legislative history of the Act makes clear that “[s]</w:t>
      </w:r>
      <w:proofErr w:type="spellStart"/>
      <w:r>
        <w:rPr>
          <w:rFonts w:ascii="Times New Roman" w:eastAsia="Times New Roman" w:hAnsi="Times New Roman" w:cs="Times New Roman"/>
        </w:rPr>
        <w:t>ince</w:t>
      </w:r>
      <w:proofErr w:type="spellEnd"/>
      <w:r>
        <w:rPr>
          <w:rFonts w:ascii="Times New Roman" w:eastAsia="Times New Roman" w:hAnsi="Times New Roman" w:cs="Times New Roman"/>
        </w:rPr>
        <w:t xml:space="preserve"> ‘copies’ are defined as </w:t>
      </w:r>
    </w:p>
    <w:p w14:paraId="00000038" w14:textId="77777777" w:rsidR="00FC13B3" w:rsidRDefault="00E0033E">
      <w:pPr>
        <w:ind w:firstLine="720"/>
        <w:rPr>
          <w:rFonts w:ascii="Times New Roman" w:eastAsia="Times New Roman" w:hAnsi="Times New Roman" w:cs="Times New Roman"/>
        </w:rPr>
      </w:pPr>
      <w:r>
        <w:rPr>
          <w:rFonts w:ascii="Times New Roman" w:eastAsia="Times New Roman" w:hAnsi="Times New Roman" w:cs="Times New Roman"/>
        </w:rPr>
        <w:t xml:space="preserve">including the material object ‘in which the work is first fixed,’ the right of public display applies </w:t>
      </w:r>
    </w:p>
    <w:p w14:paraId="00000039" w14:textId="77777777" w:rsidR="00FC13B3" w:rsidRDefault="00E0033E">
      <w:pPr>
        <w:ind w:firstLine="720"/>
        <w:rPr>
          <w:rFonts w:ascii="Times New Roman" w:eastAsia="Times New Roman" w:hAnsi="Times New Roman" w:cs="Times New Roman"/>
        </w:rPr>
      </w:pPr>
      <w:r>
        <w:rPr>
          <w:rFonts w:ascii="Times New Roman" w:eastAsia="Times New Roman" w:hAnsi="Times New Roman" w:cs="Times New Roman"/>
        </w:rPr>
        <w:t xml:space="preserve">to original works </w:t>
      </w:r>
      <w:r>
        <w:rPr>
          <w:rFonts w:ascii="Times New Roman" w:eastAsia="Times New Roman" w:hAnsi="Times New Roman" w:cs="Times New Roman"/>
        </w:rPr>
        <w:t xml:space="preserve">of art as well as to reproductions of them.  By inline linking and framing Kelly’s </w:t>
      </w:r>
    </w:p>
    <w:p w14:paraId="0000003A" w14:textId="77777777" w:rsidR="00FC13B3" w:rsidRDefault="00E0033E">
      <w:pPr>
        <w:ind w:firstLine="720"/>
        <w:rPr>
          <w:rFonts w:ascii="Times New Roman" w:eastAsia="Times New Roman" w:hAnsi="Times New Roman" w:cs="Times New Roman"/>
        </w:rPr>
      </w:pPr>
      <w:r>
        <w:rPr>
          <w:rFonts w:ascii="Times New Roman" w:eastAsia="Times New Roman" w:hAnsi="Times New Roman" w:cs="Times New Roman"/>
        </w:rPr>
        <w:t xml:space="preserve">images, Arriba is showing Kelly’s original works without his permission.  The legislative history </w:t>
      </w:r>
    </w:p>
    <w:p w14:paraId="0000003B" w14:textId="77777777" w:rsidR="00FC13B3" w:rsidRDefault="00E0033E">
      <w:pPr>
        <w:ind w:firstLine="720"/>
        <w:rPr>
          <w:rFonts w:ascii="Times New Roman" w:eastAsia="Times New Roman" w:hAnsi="Times New Roman" w:cs="Times New Roman"/>
        </w:rPr>
      </w:pPr>
      <w:r>
        <w:rPr>
          <w:rFonts w:ascii="Times New Roman" w:eastAsia="Times New Roman" w:hAnsi="Times New Roman" w:cs="Times New Roman"/>
        </w:rPr>
        <w:t xml:space="preserve">goes on to state that </w:t>
      </w:r>
      <w:proofErr w:type="gramStart"/>
      <w:r>
        <w:rPr>
          <w:rFonts w:ascii="Times New Roman" w:eastAsia="Times New Roman" w:hAnsi="Times New Roman" w:cs="Times New Roman"/>
        </w:rPr>
        <w:t>“ ‘</w:t>
      </w:r>
      <w:proofErr w:type="gramEnd"/>
      <w:r>
        <w:rPr>
          <w:rFonts w:ascii="Times New Roman" w:eastAsia="Times New Roman" w:hAnsi="Times New Roman" w:cs="Times New Roman"/>
        </w:rPr>
        <w:t>display’ would include the projection of an imag</w:t>
      </w:r>
      <w:r>
        <w:rPr>
          <w:rFonts w:ascii="Times New Roman" w:eastAsia="Times New Roman" w:hAnsi="Times New Roman" w:cs="Times New Roman"/>
        </w:rPr>
        <w:t xml:space="preserve">e on a screen or other </w:t>
      </w:r>
    </w:p>
    <w:p w14:paraId="0000003C" w14:textId="77777777" w:rsidR="00FC13B3" w:rsidRDefault="00E0033E">
      <w:pPr>
        <w:ind w:firstLine="720"/>
        <w:rPr>
          <w:rFonts w:ascii="Times New Roman" w:eastAsia="Times New Roman" w:hAnsi="Times New Roman" w:cs="Times New Roman"/>
        </w:rPr>
      </w:pPr>
      <w:r>
        <w:rPr>
          <w:rFonts w:ascii="Times New Roman" w:eastAsia="Times New Roman" w:hAnsi="Times New Roman" w:cs="Times New Roman"/>
        </w:rPr>
        <w:t xml:space="preserve">surface by any method, the transmission of an image by electronic or other means, and the </w:t>
      </w:r>
    </w:p>
    <w:p w14:paraId="0000003D" w14:textId="77777777" w:rsidR="00FC13B3" w:rsidRDefault="00E0033E">
      <w:pPr>
        <w:ind w:firstLine="720"/>
        <w:rPr>
          <w:rFonts w:ascii="Times New Roman" w:eastAsia="Times New Roman" w:hAnsi="Times New Roman" w:cs="Times New Roman"/>
        </w:rPr>
      </w:pPr>
      <w:r>
        <w:rPr>
          <w:rFonts w:ascii="Times New Roman" w:eastAsia="Times New Roman" w:hAnsi="Times New Roman" w:cs="Times New Roman"/>
        </w:rPr>
        <w:t xml:space="preserve">showing of an image on a cathode ray tube, or similar viewing apparatus connected with any sort </w:t>
      </w:r>
    </w:p>
    <w:p w14:paraId="0000003E" w14:textId="77777777" w:rsidR="00FC13B3" w:rsidRDefault="00E0033E">
      <w:pPr>
        <w:ind w:firstLine="720"/>
        <w:rPr>
          <w:rFonts w:ascii="Times New Roman" w:eastAsia="Times New Roman" w:hAnsi="Times New Roman" w:cs="Times New Roman"/>
        </w:rPr>
      </w:pPr>
      <w:r>
        <w:rPr>
          <w:rFonts w:ascii="Times New Roman" w:eastAsia="Times New Roman" w:hAnsi="Times New Roman" w:cs="Times New Roman"/>
        </w:rPr>
        <w:t>of information storage and retrieval system.</w:t>
      </w:r>
      <w:r>
        <w:rPr>
          <w:rFonts w:ascii="Times New Roman" w:eastAsia="Times New Roman" w:hAnsi="Times New Roman" w:cs="Times New Roman"/>
        </w:rPr>
        <w:t xml:space="preserve">”  This language indicates that showing Kelly’s </w:t>
      </w:r>
    </w:p>
    <w:p w14:paraId="0000003F" w14:textId="77777777" w:rsidR="00FC13B3" w:rsidRDefault="00E0033E">
      <w:pPr>
        <w:ind w:firstLine="720"/>
        <w:rPr>
          <w:rFonts w:ascii="Times New Roman" w:eastAsia="Times New Roman" w:hAnsi="Times New Roman" w:cs="Times New Roman"/>
        </w:rPr>
      </w:pPr>
      <w:r>
        <w:rPr>
          <w:rFonts w:ascii="Times New Roman" w:eastAsia="Times New Roman" w:hAnsi="Times New Roman" w:cs="Times New Roman"/>
        </w:rPr>
        <w:t>images on a computer screen would constitute a display.</w:t>
      </w:r>
      <w:r>
        <w:rPr>
          <w:rFonts w:ascii="Times New Roman" w:eastAsia="Times New Roman" w:hAnsi="Times New Roman" w:cs="Times New Roman"/>
          <w:vertAlign w:val="superscript"/>
        </w:rPr>
        <w:footnoteReference w:id="34"/>
      </w:r>
      <w:r>
        <w:rPr>
          <w:rFonts w:ascii="Times New Roman" w:eastAsia="Times New Roman" w:hAnsi="Times New Roman" w:cs="Times New Roman"/>
        </w:rPr>
        <w:t xml:space="preserve">  </w:t>
      </w:r>
    </w:p>
    <w:p w14:paraId="00000040" w14:textId="77777777" w:rsidR="00FC13B3" w:rsidRDefault="00FC13B3">
      <w:pPr>
        <w:spacing w:line="360" w:lineRule="auto"/>
        <w:rPr>
          <w:rFonts w:ascii="Times New Roman" w:eastAsia="Times New Roman" w:hAnsi="Times New Roman" w:cs="Times New Roman"/>
        </w:rPr>
      </w:pPr>
    </w:p>
    <w:p w14:paraId="00000041" w14:textId="77777777" w:rsidR="00FC13B3" w:rsidRDefault="00E0033E">
      <w:pPr>
        <w:spacing w:line="360" w:lineRule="auto"/>
        <w:rPr>
          <w:rFonts w:ascii="Times New Roman" w:eastAsia="Times New Roman" w:hAnsi="Times New Roman" w:cs="Times New Roman"/>
        </w:rPr>
      </w:pPr>
      <w:r>
        <w:rPr>
          <w:rFonts w:ascii="Times New Roman" w:eastAsia="Times New Roman" w:hAnsi="Times New Roman" w:cs="Times New Roman"/>
        </w:rPr>
        <w:t>Underlining the legislative history, the Ninth Circuit also noted that “[e]</w:t>
      </w:r>
      <w:proofErr w:type="spellStart"/>
      <w:r>
        <w:rPr>
          <w:rFonts w:ascii="Times New Roman" w:eastAsia="Times New Roman" w:hAnsi="Times New Roman" w:cs="Times New Roman"/>
        </w:rPr>
        <w:t>ach</w:t>
      </w:r>
      <w:proofErr w:type="spellEnd"/>
      <w:r>
        <w:rPr>
          <w:rFonts w:ascii="Times New Roman" w:eastAsia="Times New Roman" w:hAnsi="Times New Roman" w:cs="Times New Roman"/>
        </w:rPr>
        <w:t xml:space="preserve"> and every method by which the images or sounds comprising a perform</w:t>
      </w:r>
      <w:r>
        <w:rPr>
          <w:rFonts w:ascii="Times New Roman" w:eastAsia="Times New Roman" w:hAnsi="Times New Roman" w:cs="Times New Roman"/>
        </w:rPr>
        <w:t>ance or display are picked up and conveyed is a ‘transmission,’ and if the transmission reaches the public in [any] form, the case comes within the scope of [the public performance and display rights] of section 106.”</w:t>
      </w:r>
      <w:r>
        <w:rPr>
          <w:rFonts w:ascii="Times New Roman" w:eastAsia="Times New Roman" w:hAnsi="Times New Roman" w:cs="Times New Roman"/>
          <w:vertAlign w:val="superscript"/>
        </w:rPr>
        <w:footnoteReference w:id="35"/>
      </w:r>
      <w:r>
        <w:rPr>
          <w:rFonts w:ascii="Times New Roman" w:eastAsia="Times New Roman" w:hAnsi="Times New Roman" w:cs="Times New Roman"/>
        </w:rPr>
        <w:t xml:space="preserve">  </w:t>
      </w:r>
    </w:p>
    <w:p w14:paraId="00000042"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lastRenderedPageBreak/>
        <w:t>The court’s abstraction of the dis</w:t>
      </w:r>
      <w:r>
        <w:rPr>
          <w:rFonts w:ascii="Times New Roman" w:eastAsia="Times New Roman" w:hAnsi="Times New Roman" w:cs="Times New Roman"/>
        </w:rPr>
        <w:t>play right in the context of a new technology aligns with the intent of legislators that the Copyright Act remain pliable yet relevant over time.  However, the withdrawal of the 2002 opinion concealed the Ninth Circuit’s common sense, plain language interp</w:t>
      </w:r>
      <w:r>
        <w:rPr>
          <w:rFonts w:ascii="Times New Roman" w:eastAsia="Times New Roman" w:hAnsi="Times New Roman" w:cs="Times New Roman"/>
        </w:rPr>
        <w:t xml:space="preserve">retation of what it means to “display” a copyrighted work on the internet.  After remaining in the shadows for more than a decade, this common sense analysis was only recently evoked in 2018 in </w:t>
      </w:r>
      <w:r>
        <w:rPr>
          <w:rFonts w:ascii="Times New Roman" w:eastAsia="Times New Roman" w:hAnsi="Times New Roman" w:cs="Times New Roman"/>
          <w:i/>
        </w:rPr>
        <w:t>Goldman v. Breitbart</w:t>
      </w:r>
      <w:r>
        <w:rPr>
          <w:rFonts w:ascii="Times New Roman" w:eastAsia="Times New Roman" w:hAnsi="Times New Roman" w:cs="Times New Roman"/>
        </w:rPr>
        <w:t xml:space="preserve">.  </w:t>
      </w:r>
    </w:p>
    <w:p w14:paraId="00000043" w14:textId="77777777" w:rsidR="00FC13B3" w:rsidRDefault="00E0033E">
      <w:pPr>
        <w:spacing w:line="360" w:lineRule="auto"/>
        <w:ind w:firstLine="720"/>
        <w:rPr>
          <w:rFonts w:ascii="Times New Roman" w:eastAsia="Times New Roman" w:hAnsi="Times New Roman" w:cs="Times New Roman"/>
          <w:b/>
        </w:rPr>
      </w:pPr>
      <w:r>
        <w:rPr>
          <w:rFonts w:ascii="Times New Roman" w:eastAsia="Times New Roman" w:hAnsi="Times New Roman" w:cs="Times New Roman"/>
        </w:rPr>
        <w:t>So, why has the Ninth Circuit’s origin</w:t>
      </w:r>
      <w:r>
        <w:rPr>
          <w:rFonts w:ascii="Times New Roman" w:eastAsia="Times New Roman" w:hAnsi="Times New Roman" w:cs="Times New Roman"/>
        </w:rPr>
        <w:t xml:space="preserve">al </w:t>
      </w:r>
      <w:proofErr w:type="gramStart"/>
      <w:r>
        <w:rPr>
          <w:rFonts w:ascii="Times New Roman" w:eastAsia="Times New Roman" w:hAnsi="Times New Roman" w:cs="Times New Roman"/>
        </w:rPr>
        <w:t>common sense</w:t>
      </w:r>
      <w:proofErr w:type="gramEnd"/>
      <w:r>
        <w:rPr>
          <w:rFonts w:ascii="Times New Roman" w:eastAsia="Times New Roman" w:hAnsi="Times New Roman" w:cs="Times New Roman"/>
        </w:rPr>
        <w:t xml:space="preserve"> analysis of the display right in the internet age been ignored for so many years?  It comes as no surprise that the federal courts in northern California were enthused about the promises of the internet at a time when Google was a nascent s</w:t>
      </w:r>
      <w:r>
        <w:rPr>
          <w:rFonts w:ascii="Times New Roman" w:eastAsia="Times New Roman" w:hAnsi="Times New Roman" w:cs="Times New Roman"/>
        </w:rPr>
        <w:t>tartup.</w:t>
      </w:r>
      <w:r>
        <w:rPr>
          <w:rFonts w:ascii="Times New Roman" w:eastAsia="Times New Roman" w:hAnsi="Times New Roman" w:cs="Times New Roman"/>
          <w:vertAlign w:val="superscript"/>
        </w:rPr>
        <w:footnoteReference w:id="36"/>
      </w:r>
      <w:r>
        <w:rPr>
          <w:rFonts w:ascii="Times New Roman" w:eastAsia="Times New Roman" w:hAnsi="Times New Roman" w:cs="Times New Roman"/>
        </w:rPr>
        <w:t xml:space="preserve">  Instead of stifling innovation, the Ninth Circuit’s Server Test bulldozed a way for search engines to flourish.  Quite simply, the holding in </w:t>
      </w:r>
      <w:r>
        <w:rPr>
          <w:rFonts w:ascii="Times New Roman" w:eastAsia="Times New Roman" w:hAnsi="Times New Roman" w:cs="Times New Roman"/>
          <w:i/>
        </w:rPr>
        <w:t>Perfect 10</w:t>
      </w:r>
      <w:r>
        <w:rPr>
          <w:rFonts w:ascii="Times New Roman" w:eastAsia="Times New Roman" w:hAnsi="Times New Roman" w:cs="Times New Roman"/>
        </w:rPr>
        <w:t xml:space="preserve"> allowed for the fabric of the internet to be weaved together without the intrusion of the court syste</w:t>
      </w:r>
      <w:r>
        <w:rPr>
          <w:rFonts w:ascii="Times New Roman" w:eastAsia="Times New Roman" w:hAnsi="Times New Roman" w:cs="Times New Roman"/>
        </w:rPr>
        <w:t xml:space="preserve">m. </w:t>
      </w:r>
    </w:p>
    <w:p w14:paraId="00000044" w14:textId="77777777" w:rsidR="00FC13B3" w:rsidRDefault="00FC13B3">
      <w:pPr>
        <w:ind w:left="720"/>
        <w:rPr>
          <w:rFonts w:ascii="Times New Roman" w:eastAsia="Times New Roman" w:hAnsi="Times New Roman" w:cs="Times New Roman"/>
          <w:b/>
        </w:rPr>
      </w:pPr>
    </w:p>
    <w:p w14:paraId="00000045" w14:textId="77777777" w:rsidR="00FC13B3" w:rsidRDefault="00E0033E">
      <w:pPr>
        <w:numPr>
          <w:ilvl w:val="0"/>
          <w:numId w:val="3"/>
        </w:numPr>
        <w:rPr>
          <w:rFonts w:ascii="Times New Roman" w:eastAsia="Times New Roman" w:hAnsi="Times New Roman" w:cs="Times New Roman"/>
          <w:b/>
        </w:rPr>
      </w:pPr>
      <w:r>
        <w:rPr>
          <w:rFonts w:ascii="Times New Roman" w:eastAsia="Times New Roman" w:hAnsi="Times New Roman" w:cs="Times New Roman"/>
          <w:b/>
        </w:rPr>
        <w:t>THE SHIELD OF THE NINTH CIRCUIT’S SERVER TEST</w:t>
      </w:r>
    </w:p>
    <w:p w14:paraId="00000046" w14:textId="77777777" w:rsidR="00FC13B3" w:rsidRDefault="00FC13B3">
      <w:pPr>
        <w:spacing w:line="360" w:lineRule="auto"/>
        <w:rPr>
          <w:rFonts w:ascii="Times New Roman" w:eastAsia="Times New Roman" w:hAnsi="Times New Roman" w:cs="Times New Roman"/>
        </w:rPr>
      </w:pPr>
    </w:p>
    <w:p w14:paraId="00000047"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 xml:space="preserve">The Server Test was pitched by Google’s legal team in </w:t>
      </w:r>
      <w:r>
        <w:rPr>
          <w:rFonts w:ascii="Times New Roman" w:eastAsia="Times New Roman" w:hAnsi="Times New Roman" w:cs="Times New Roman"/>
          <w:i/>
        </w:rPr>
        <w:t>Perfect 10</w:t>
      </w:r>
      <w:r>
        <w:rPr>
          <w:rFonts w:ascii="Times New Roman" w:eastAsia="Times New Roman" w:hAnsi="Times New Roman" w:cs="Times New Roman"/>
        </w:rPr>
        <w:t>.  The legal dispute centers around a lawsuit against Google for the unauthorized indexing and display of thumbnail and full-sized nude photos that were first published on Perfect 10’s website.  The parties provided the district court with two competing te</w:t>
      </w:r>
      <w:r>
        <w:rPr>
          <w:rFonts w:ascii="Times New Roman" w:eastAsia="Times New Roman" w:hAnsi="Times New Roman" w:cs="Times New Roman"/>
        </w:rPr>
        <w:t xml:space="preserve">sts to determine whether an infringing display had occurred.    </w:t>
      </w:r>
    </w:p>
    <w:p w14:paraId="00000048"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Pursuant to the Server Test, a display consists of storing an image as electronic information and “</w:t>
      </w:r>
      <w:r>
        <w:rPr>
          <w:rFonts w:ascii="Times New Roman" w:eastAsia="Times New Roman" w:hAnsi="Times New Roman" w:cs="Times New Roman"/>
          <w:i/>
        </w:rPr>
        <w:t>serving</w:t>
      </w:r>
      <w:r>
        <w:rPr>
          <w:rFonts w:ascii="Times New Roman" w:eastAsia="Times New Roman" w:hAnsi="Times New Roman" w:cs="Times New Roman"/>
        </w:rPr>
        <w:t xml:space="preserve"> [that] content over the web, i.e., physically sending ones and zeroes over the inter</w:t>
      </w:r>
      <w:r>
        <w:rPr>
          <w:rFonts w:ascii="Times New Roman" w:eastAsia="Times New Roman" w:hAnsi="Times New Roman" w:cs="Times New Roman"/>
        </w:rPr>
        <w:t>net to the user’s browser.”  By contrast, the “Incorporation Test,” tendered by Perfect 10, considers a display to be “the mere act of incorporating content into a webpage.”  The Incorporation Test is a purely visual determination and one that was more con</w:t>
      </w:r>
      <w:r>
        <w:rPr>
          <w:rFonts w:ascii="Times New Roman" w:eastAsia="Times New Roman" w:hAnsi="Times New Roman" w:cs="Times New Roman"/>
        </w:rPr>
        <w:t xml:space="preserve">ceptually aligned with the reasoning outlined in the 2002 </w:t>
      </w:r>
      <w:r>
        <w:rPr>
          <w:rFonts w:ascii="Times New Roman" w:eastAsia="Times New Roman" w:hAnsi="Times New Roman" w:cs="Times New Roman"/>
          <w:i/>
        </w:rPr>
        <w:t>Kelly</w:t>
      </w:r>
      <w:r>
        <w:rPr>
          <w:rFonts w:ascii="Times New Roman" w:eastAsia="Times New Roman" w:hAnsi="Times New Roman" w:cs="Times New Roman"/>
        </w:rPr>
        <w:t xml:space="preserve"> decision.  </w:t>
      </w:r>
    </w:p>
    <w:p w14:paraId="00000049"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Ultimately, the court applied the Server Test, which overly complicated the analysis of whether a copyrighted work is displayed or not.  Under this theory, the emphasis is placed o</w:t>
      </w:r>
      <w:r>
        <w:rPr>
          <w:rFonts w:ascii="Times New Roman" w:eastAsia="Times New Roman" w:hAnsi="Times New Roman" w:cs="Times New Roman"/>
        </w:rPr>
        <w:t xml:space="preserve">n </w:t>
      </w:r>
      <w:r>
        <w:rPr>
          <w:rFonts w:ascii="Times New Roman" w:eastAsia="Times New Roman" w:hAnsi="Times New Roman" w:cs="Times New Roman"/>
          <w:i/>
        </w:rPr>
        <w:t>where</w:t>
      </w:r>
      <w:r>
        <w:rPr>
          <w:rFonts w:ascii="Times New Roman" w:eastAsia="Times New Roman" w:hAnsi="Times New Roman" w:cs="Times New Roman"/>
        </w:rPr>
        <w:t xml:space="preserve"> content is stored and </w:t>
      </w:r>
      <w:r>
        <w:rPr>
          <w:rFonts w:ascii="Times New Roman" w:eastAsia="Times New Roman" w:hAnsi="Times New Roman" w:cs="Times New Roman"/>
          <w:i/>
        </w:rPr>
        <w:t>how</w:t>
      </w:r>
      <w:r>
        <w:rPr>
          <w:rFonts w:ascii="Times New Roman" w:eastAsia="Times New Roman" w:hAnsi="Times New Roman" w:cs="Times New Roman"/>
        </w:rPr>
        <w:t xml:space="preserve"> the content travels on a technological level, not whether the content is </w:t>
      </w:r>
      <w:r>
        <w:rPr>
          <w:rFonts w:ascii="Times New Roman" w:eastAsia="Times New Roman" w:hAnsi="Times New Roman" w:cs="Times New Roman"/>
          <w:u w:val="single"/>
        </w:rPr>
        <w:t>visually displayed</w:t>
      </w:r>
      <w:r>
        <w:rPr>
          <w:rFonts w:ascii="Times New Roman" w:eastAsia="Times New Roman" w:hAnsi="Times New Roman" w:cs="Times New Roman"/>
        </w:rPr>
        <w:t xml:space="preserve"> to the public.  Affirming the lower court’s ruling in </w:t>
      </w:r>
      <w:r>
        <w:rPr>
          <w:rFonts w:ascii="Times New Roman" w:eastAsia="Times New Roman" w:hAnsi="Times New Roman" w:cs="Times New Roman"/>
          <w:i/>
        </w:rPr>
        <w:t>Perfect 10 v. Amazon</w:t>
      </w:r>
      <w:r>
        <w:rPr>
          <w:rFonts w:ascii="Times New Roman" w:eastAsia="Times New Roman" w:hAnsi="Times New Roman" w:cs="Times New Roman"/>
        </w:rPr>
        <w:t>, the Ninth Circuit fixated on the copyright term “fixed</w:t>
      </w:r>
      <w:r>
        <w:rPr>
          <w:rFonts w:ascii="Times New Roman" w:eastAsia="Times New Roman" w:hAnsi="Times New Roman" w:cs="Times New Roman"/>
        </w:rPr>
        <w:t>,” and added a spatial element into the definition, which allowed the court to justify its use of the Server Test.  According to the Ninth Circuit, a work is “fixed” if the actual code and electronic information is stored on a server in the computer’s memo</w:t>
      </w:r>
      <w:r>
        <w:rPr>
          <w:rFonts w:ascii="Times New Roman" w:eastAsia="Times New Roman" w:hAnsi="Times New Roman" w:cs="Times New Roman"/>
        </w:rPr>
        <w:t xml:space="preserve">ry.  This interpretation is limiting as it </w:t>
      </w:r>
      <w:r>
        <w:rPr>
          <w:rFonts w:ascii="Times New Roman" w:eastAsia="Times New Roman" w:hAnsi="Times New Roman" w:cs="Times New Roman"/>
        </w:rPr>
        <w:lastRenderedPageBreak/>
        <w:t xml:space="preserve">forecloses various other ways in which copyrighted content could be “embodied” in a perceptible way that may not be stored in a single place or may constantly be in transit, such as microdata stored in the cloud, </w:t>
      </w:r>
      <w:r>
        <w:rPr>
          <w:rFonts w:ascii="Times New Roman" w:eastAsia="Times New Roman" w:hAnsi="Times New Roman" w:cs="Times New Roman"/>
        </w:rPr>
        <w:t>peer-to-peer sharing programs, and bits that are shared in a decentralized manner.  Furthermore, there is no mention in the Copyright Act of the strict requirement to keep a copy “fixed” in a computer’s memory or on a server.  Furthermore, Section 101 clea</w:t>
      </w:r>
      <w:r>
        <w:rPr>
          <w:rFonts w:ascii="Times New Roman" w:eastAsia="Times New Roman" w:hAnsi="Times New Roman" w:cs="Times New Roman"/>
        </w:rPr>
        <w:t>rly notes that a work can be fixed by “any method now known or later developed.”</w:t>
      </w:r>
      <w:r>
        <w:rPr>
          <w:rFonts w:ascii="Times New Roman" w:eastAsia="Times New Roman" w:hAnsi="Times New Roman" w:cs="Times New Roman"/>
          <w:vertAlign w:val="superscript"/>
        </w:rPr>
        <w:footnoteReference w:id="37"/>
      </w:r>
      <w:r>
        <w:rPr>
          <w:rFonts w:ascii="Times New Roman" w:eastAsia="Times New Roman" w:hAnsi="Times New Roman" w:cs="Times New Roman"/>
        </w:rPr>
        <w:t xml:space="preserve">    </w:t>
      </w:r>
    </w:p>
    <w:p w14:paraId="0000004A"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 xml:space="preserve">The Server Test adds unnecessary complexity to legal inquiry and departs from the plain language of the statutory language.  The criticism surrounding the 2002 </w:t>
      </w:r>
      <w:r>
        <w:rPr>
          <w:rFonts w:ascii="Times New Roman" w:eastAsia="Times New Roman" w:hAnsi="Times New Roman" w:cs="Times New Roman"/>
          <w:i/>
        </w:rPr>
        <w:t>Kelly</w:t>
      </w:r>
      <w:r>
        <w:rPr>
          <w:rFonts w:ascii="Times New Roman" w:eastAsia="Times New Roman" w:hAnsi="Times New Roman" w:cs="Times New Roman"/>
        </w:rPr>
        <w:t xml:space="preserve"> dec</w:t>
      </w:r>
      <w:r>
        <w:rPr>
          <w:rFonts w:ascii="Times New Roman" w:eastAsia="Times New Roman" w:hAnsi="Times New Roman" w:cs="Times New Roman"/>
        </w:rPr>
        <w:t>ision and the court’s fascination with the “dazzling capacity of internet technology” at the turn of the millennium makes it unsurprising that the Server Test was adopted.</w:t>
      </w:r>
      <w:r>
        <w:rPr>
          <w:rFonts w:ascii="Times New Roman" w:eastAsia="Times New Roman" w:hAnsi="Times New Roman" w:cs="Times New Roman"/>
          <w:vertAlign w:val="superscript"/>
        </w:rPr>
        <w:footnoteReference w:id="38"/>
      </w:r>
      <w:r>
        <w:rPr>
          <w:rFonts w:ascii="Times New Roman" w:eastAsia="Times New Roman" w:hAnsi="Times New Roman" w:cs="Times New Roman"/>
        </w:rPr>
        <w:t xml:space="preserve">  In doing so, the court created a loophole for search engines and websites to avoi</w:t>
      </w:r>
      <w:r>
        <w:rPr>
          <w:rFonts w:ascii="Times New Roman" w:eastAsia="Times New Roman" w:hAnsi="Times New Roman" w:cs="Times New Roman"/>
        </w:rPr>
        <w:t>d direct liability for displaying content through in-line linking, which is now called embedding.  Yet, at a time when interconnectivity and expansion of the internet seems to finally be reaching saturation,</w:t>
      </w:r>
      <w:r>
        <w:rPr>
          <w:rFonts w:ascii="Times New Roman" w:eastAsia="Times New Roman" w:hAnsi="Times New Roman" w:cs="Times New Roman"/>
          <w:vertAlign w:val="superscript"/>
        </w:rPr>
        <w:footnoteReference w:id="39"/>
      </w:r>
      <w:r>
        <w:rPr>
          <w:rFonts w:ascii="Times New Roman" w:eastAsia="Times New Roman" w:hAnsi="Times New Roman" w:cs="Times New Roman"/>
        </w:rPr>
        <w:t xml:space="preserve"> the Second Circuit has turned the Server Test </w:t>
      </w:r>
      <w:r>
        <w:rPr>
          <w:rFonts w:ascii="Times New Roman" w:eastAsia="Times New Roman" w:hAnsi="Times New Roman" w:cs="Times New Roman"/>
        </w:rPr>
        <w:t xml:space="preserve">theory on its head.     </w:t>
      </w:r>
    </w:p>
    <w:p w14:paraId="0000004B" w14:textId="77777777" w:rsidR="00FC13B3" w:rsidRDefault="00FC13B3">
      <w:pPr>
        <w:spacing w:line="360" w:lineRule="auto"/>
        <w:ind w:firstLine="720"/>
        <w:rPr>
          <w:rFonts w:ascii="Times New Roman" w:eastAsia="Times New Roman" w:hAnsi="Times New Roman" w:cs="Times New Roman"/>
        </w:rPr>
      </w:pPr>
    </w:p>
    <w:p w14:paraId="0000004C" w14:textId="77777777" w:rsidR="00FC13B3" w:rsidRDefault="00E0033E">
      <w:pPr>
        <w:rPr>
          <w:rFonts w:ascii="Times New Roman" w:eastAsia="Times New Roman" w:hAnsi="Times New Roman" w:cs="Times New Roman"/>
          <w:b/>
        </w:rPr>
      </w:pPr>
      <w:r>
        <w:rPr>
          <w:rFonts w:ascii="Times New Roman" w:eastAsia="Times New Roman" w:hAnsi="Times New Roman" w:cs="Times New Roman"/>
          <w:b/>
        </w:rPr>
        <w:t>PART III: FATAL BLOWS TO THE ART OF EMBEDDING</w:t>
      </w:r>
    </w:p>
    <w:p w14:paraId="0000004D" w14:textId="77777777" w:rsidR="00FC13B3" w:rsidRDefault="00FC13B3">
      <w:pPr>
        <w:rPr>
          <w:rFonts w:ascii="Times New Roman" w:eastAsia="Times New Roman" w:hAnsi="Times New Roman" w:cs="Times New Roman"/>
          <w:b/>
        </w:rPr>
      </w:pPr>
    </w:p>
    <w:p w14:paraId="0000004E" w14:textId="77777777" w:rsidR="00FC13B3" w:rsidRDefault="00E0033E">
      <w:pPr>
        <w:rPr>
          <w:rFonts w:ascii="Times New Roman" w:eastAsia="Times New Roman" w:hAnsi="Times New Roman" w:cs="Times New Roman"/>
          <w:b/>
          <w:i/>
        </w:rPr>
      </w:pPr>
      <w:r>
        <w:rPr>
          <w:rFonts w:ascii="Times New Roman" w:eastAsia="Times New Roman" w:hAnsi="Times New Roman" w:cs="Times New Roman"/>
          <w:b/>
        </w:rPr>
        <w:t xml:space="preserve">   A.</w:t>
      </w:r>
      <w:r>
        <w:rPr>
          <w:rFonts w:ascii="Times New Roman" w:eastAsia="Times New Roman" w:hAnsi="Times New Roman" w:cs="Times New Roman"/>
          <w:b/>
        </w:rPr>
        <w:tab/>
        <w:t xml:space="preserve">Resurrection of the Incorporation Test in </w:t>
      </w:r>
      <w:r>
        <w:rPr>
          <w:rFonts w:ascii="Times New Roman" w:eastAsia="Times New Roman" w:hAnsi="Times New Roman" w:cs="Times New Roman"/>
          <w:b/>
          <w:i/>
        </w:rPr>
        <w:t xml:space="preserve">Goldman v. Breitbart </w:t>
      </w:r>
    </w:p>
    <w:p w14:paraId="0000004F" w14:textId="77777777" w:rsidR="00FC13B3" w:rsidRDefault="00FC13B3">
      <w:pPr>
        <w:rPr>
          <w:rFonts w:ascii="Times New Roman" w:eastAsia="Times New Roman" w:hAnsi="Times New Roman" w:cs="Times New Roman"/>
        </w:rPr>
      </w:pPr>
    </w:p>
    <w:p w14:paraId="00000050" w14:textId="77777777" w:rsidR="00FC13B3" w:rsidRDefault="00E0033E">
      <w:pPr>
        <w:spacing w:line="360" w:lineRule="auto"/>
        <w:rPr>
          <w:rFonts w:ascii="Times New Roman" w:eastAsia="Times New Roman" w:hAnsi="Times New Roman" w:cs="Times New Roman"/>
        </w:rPr>
      </w:pPr>
      <w:r>
        <w:rPr>
          <w:rFonts w:ascii="Times New Roman" w:eastAsia="Times New Roman" w:hAnsi="Times New Roman" w:cs="Times New Roman"/>
        </w:rPr>
        <w:tab/>
        <w:t xml:space="preserve">Approximately sixteen years after the 2002 </w:t>
      </w:r>
      <w:r>
        <w:rPr>
          <w:rFonts w:ascii="Times New Roman" w:eastAsia="Times New Roman" w:hAnsi="Times New Roman" w:cs="Times New Roman"/>
          <w:i/>
        </w:rPr>
        <w:t>Kelly</w:t>
      </w:r>
      <w:r>
        <w:rPr>
          <w:rFonts w:ascii="Times New Roman" w:eastAsia="Times New Roman" w:hAnsi="Times New Roman" w:cs="Times New Roman"/>
        </w:rPr>
        <w:t xml:space="preserve"> opinion was put to rest, the Southern District of New York in </w:t>
      </w:r>
      <w:r>
        <w:rPr>
          <w:rFonts w:ascii="Times New Roman" w:eastAsia="Times New Roman" w:hAnsi="Times New Roman" w:cs="Times New Roman"/>
          <w:i/>
        </w:rPr>
        <w:t>Goldman v. Breitbart</w:t>
      </w:r>
      <w:r>
        <w:rPr>
          <w:rFonts w:ascii="Times New Roman" w:eastAsia="Times New Roman" w:hAnsi="Times New Roman" w:cs="Times New Roman"/>
        </w:rPr>
        <w:t xml:space="preserve"> resurrected the Incorporation Test.  In the case, Justin Goldman took a photo of Tom Brady that went viral after he posted it to </w:t>
      </w:r>
      <w:proofErr w:type="spellStart"/>
      <w:r>
        <w:rPr>
          <w:rFonts w:ascii="Times New Roman" w:eastAsia="Times New Roman" w:hAnsi="Times New Roman" w:cs="Times New Roman"/>
        </w:rPr>
        <w:t>SnapChat</w:t>
      </w:r>
      <w:proofErr w:type="spellEnd"/>
      <w:r>
        <w:rPr>
          <w:rFonts w:ascii="Times New Roman" w:eastAsia="Times New Roman" w:hAnsi="Times New Roman" w:cs="Times New Roman"/>
        </w:rPr>
        <w:t xml:space="preserve">.  Without Goldman’s permission, the photo was embedded and distributed across other social media </w:t>
      </w:r>
      <w:r>
        <w:rPr>
          <w:rFonts w:ascii="Times New Roman" w:eastAsia="Times New Roman" w:hAnsi="Times New Roman" w:cs="Times New Roman"/>
        </w:rPr>
        <w:t>platforms, including Reddit and Twitter.  The photo eventually appeared as an embedded Tweet in various blogs and articles published by major news outlets.  When Goldman sued for infringement of his display right in the Brady photo, the defendants urged th</w:t>
      </w:r>
      <w:r>
        <w:rPr>
          <w:rFonts w:ascii="Times New Roman" w:eastAsia="Times New Roman" w:hAnsi="Times New Roman" w:cs="Times New Roman"/>
        </w:rPr>
        <w:t xml:space="preserve">e court to find the scope of use under the shield of the Server Test.  The court denied to apply the Server Test and instead emphasized the statutory text and line of reasoning that was previously articulated in the 2002 </w:t>
      </w:r>
      <w:r>
        <w:rPr>
          <w:rFonts w:ascii="Times New Roman" w:eastAsia="Times New Roman" w:hAnsi="Times New Roman" w:cs="Times New Roman"/>
          <w:i/>
        </w:rPr>
        <w:t>Kelly</w:t>
      </w:r>
      <w:r>
        <w:rPr>
          <w:rFonts w:ascii="Times New Roman" w:eastAsia="Times New Roman" w:hAnsi="Times New Roman" w:cs="Times New Roman"/>
        </w:rPr>
        <w:t xml:space="preserve"> opinion: </w:t>
      </w:r>
    </w:p>
    <w:p w14:paraId="00000051" w14:textId="77777777" w:rsidR="00FC13B3" w:rsidRDefault="00FC13B3">
      <w:pPr>
        <w:spacing w:line="360" w:lineRule="auto"/>
        <w:rPr>
          <w:rFonts w:ascii="Times New Roman" w:eastAsia="Times New Roman" w:hAnsi="Times New Roman" w:cs="Times New Roman"/>
        </w:rPr>
      </w:pPr>
    </w:p>
    <w:p w14:paraId="00000052" w14:textId="77777777" w:rsidR="00FC13B3" w:rsidRDefault="00E0033E">
      <w:pPr>
        <w:ind w:firstLine="720"/>
        <w:rPr>
          <w:rFonts w:ascii="Times New Roman" w:eastAsia="Times New Roman" w:hAnsi="Times New Roman" w:cs="Times New Roman"/>
        </w:rPr>
      </w:pPr>
      <w:r>
        <w:rPr>
          <w:rFonts w:ascii="Times New Roman" w:eastAsia="Times New Roman" w:hAnsi="Times New Roman" w:cs="Times New Roman"/>
        </w:rPr>
        <w:t>“To display a work</w:t>
      </w:r>
      <w:r>
        <w:rPr>
          <w:rFonts w:ascii="Times New Roman" w:eastAsia="Times New Roman" w:hAnsi="Times New Roman" w:cs="Times New Roman"/>
        </w:rPr>
        <w:t xml:space="preserve">, under the Act is to “show a copy of it, either directly or by means of a film, </w:t>
      </w:r>
    </w:p>
    <w:p w14:paraId="00000053" w14:textId="77777777" w:rsidR="00FC13B3" w:rsidRDefault="00E0033E">
      <w:pPr>
        <w:ind w:firstLine="720"/>
        <w:rPr>
          <w:rFonts w:ascii="Times New Roman" w:eastAsia="Times New Roman" w:hAnsi="Times New Roman" w:cs="Times New Roman"/>
        </w:rPr>
      </w:pPr>
      <w:r>
        <w:rPr>
          <w:rFonts w:ascii="Times New Roman" w:eastAsia="Times New Roman" w:hAnsi="Times New Roman" w:cs="Times New Roman"/>
        </w:rPr>
        <w:t xml:space="preserve">slide, television image, or </w:t>
      </w:r>
      <w:r>
        <w:rPr>
          <w:rFonts w:ascii="Times New Roman" w:eastAsia="Times New Roman" w:hAnsi="Times New Roman" w:cs="Times New Roman"/>
          <w:u w:val="single"/>
        </w:rPr>
        <w:t>any other device or process</w:t>
      </w:r>
      <w:r>
        <w:rPr>
          <w:rFonts w:ascii="Times New Roman" w:eastAsia="Times New Roman" w:hAnsi="Times New Roman" w:cs="Times New Roman"/>
        </w:rPr>
        <w:t xml:space="preserve">” … “as one now known or later </w:t>
      </w:r>
    </w:p>
    <w:p w14:paraId="00000054" w14:textId="77777777" w:rsidR="00FC13B3" w:rsidRDefault="00E0033E">
      <w:pPr>
        <w:ind w:firstLine="720"/>
        <w:rPr>
          <w:rFonts w:ascii="Times New Roman" w:eastAsia="Times New Roman" w:hAnsi="Times New Roman" w:cs="Times New Roman"/>
        </w:rPr>
      </w:pPr>
      <w:r>
        <w:rPr>
          <w:rFonts w:ascii="Times New Roman" w:eastAsia="Times New Roman" w:hAnsi="Times New Roman" w:cs="Times New Roman"/>
        </w:rPr>
        <w:t>developed.”</w:t>
      </w:r>
      <w:r>
        <w:rPr>
          <w:rFonts w:ascii="Times New Roman" w:eastAsia="Times New Roman" w:hAnsi="Times New Roman" w:cs="Times New Roman"/>
          <w:vertAlign w:val="superscript"/>
        </w:rPr>
        <w:footnoteReference w:id="40"/>
      </w:r>
      <w:r>
        <w:rPr>
          <w:rFonts w:ascii="Times New Roman" w:eastAsia="Times New Roman" w:hAnsi="Times New Roman" w:cs="Times New Roman"/>
        </w:rPr>
        <w:t xml:space="preserve">  </w:t>
      </w:r>
    </w:p>
    <w:p w14:paraId="00000055" w14:textId="77777777" w:rsidR="00FC13B3" w:rsidRDefault="00FC13B3">
      <w:pPr>
        <w:spacing w:line="360" w:lineRule="auto"/>
        <w:rPr>
          <w:rFonts w:ascii="Times New Roman" w:eastAsia="Times New Roman" w:hAnsi="Times New Roman" w:cs="Times New Roman"/>
        </w:rPr>
      </w:pPr>
    </w:p>
    <w:p w14:paraId="00000056" w14:textId="77777777" w:rsidR="00FC13B3" w:rsidRDefault="00E0033E">
      <w:pPr>
        <w:spacing w:line="360" w:lineRule="auto"/>
        <w:rPr>
          <w:rFonts w:ascii="Times New Roman" w:eastAsia="Times New Roman" w:hAnsi="Times New Roman" w:cs="Times New Roman"/>
        </w:rPr>
      </w:pPr>
      <w:r>
        <w:rPr>
          <w:rFonts w:ascii="Times New Roman" w:eastAsia="Times New Roman" w:hAnsi="Times New Roman" w:cs="Times New Roman"/>
        </w:rPr>
        <w:lastRenderedPageBreak/>
        <w:t>The court further undermined the Server Test by noting that “nowhere does the Copyright Act suggest that possession of an image is necessary in order to display it” and that “mere technical distinctions that are invisible to the user should not be the lync</w:t>
      </w:r>
      <w:r>
        <w:rPr>
          <w:rFonts w:ascii="Times New Roman" w:eastAsia="Times New Roman" w:hAnsi="Times New Roman" w:cs="Times New Roman"/>
        </w:rPr>
        <w:t xml:space="preserve">hpin on which copyright liability relies.”  The overarching theme of </w:t>
      </w:r>
      <w:r>
        <w:rPr>
          <w:rFonts w:ascii="Times New Roman" w:eastAsia="Times New Roman" w:hAnsi="Times New Roman" w:cs="Times New Roman"/>
          <w:i/>
        </w:rPr>
        <w:t>Goldman</w:t>
      </w:r>
      <w:r>
        <w:rPr>
          <w:rFonts w:ascii="Times New Roman" w:eastAsia="Times New Roman" w:hAnsi="Times New Roman" w:cs="Times New Roman"/>
        </w:rPr>
        <w:t xml:space="preserve"> serves to dismantle the overly broad reliance on the Server Test in copyright case law and to classify the practice of embedding photos as a direct infringement of the display rig</w:t>
      </w:r>
      <w:r>
        <w:rPr>
          <w:rFonts w:ascii="Times New Roman" w:eastAsia="Times New Roman" w:hAnsi="Times New Roman" w:cs="Times New Roman"/>
        </w:rPr>
        <w:t xml:space="preserve">ht, barring any available defenses.  </w:t>
      </w:r>
    </w:p>
    <w:p w14:paraId="00000057"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 xml:space="preserve">The court also highlighted the distinction between the “active steps” that the defendants in </w:t>
      </w:r>
      <w:r>
        <w:rPr>
          <w:rFonts w:ascii="Times New Roman" w:eastAsia="Times New Roman" w:hAnsi="Times New Roman" w:cs="Times New Roman"/>
          <w:i/>
        </w:rPr>
        <w:t>Goldman</w:t>
      </w:r>
      <w:r>
        <w:rPr>
          <w:rFonts w:ascii="Times New Roman" w:eastAsia="Times New Roman" w:hAnsi="Times New Roman" w:cs="Times New Roman"/>
        </w:rPr>
        <w:t xml:space="preserve"> took to display the image and the passive activity of the delivery of streaming content by the defendant in </w:t>
      </w:r>
      <w:proofErr w:type="spellStart"/>
      <w:r>
        <w:rPr>
          <w:rFonts w:ascii="Times New Roman" w:eastAsia="Times New Roman" w:hAnsi="Times New Roman" w:cs="Times New Roman"/>
          <w:i/>
        </w:rPr>
        <w:t>Aereo</w:t>
      </w:r>
      <w:proofErr w:type="spellEnd"/>
      <w:r>
        <w:rPr>
          <w:rFonts w:ascii="Times New Roman" w:eastAsia="Times New Roman" w:hAnsi="Times New Roman" w:cs="Times New Roman"/>
        </w:rPr>
        <w:t>.  I</w:t>
      </w:r>
      <w:r>
        <w:rPr>
          <w:rFonts w:ascii="Times New Roman" w:eastAsia="Times New Roman" w:hAnsi="Times New Roman" w:cs="Times New Roman"/>
        </w:rPr>
        <w:t xml:space="preserve">n concluding that both instances constituted infringement, the 2nd Circuit implicitly recognized the “make available right” that was silently incorporated into the display right after the implementation of the DMCA.  If true, the Second Circuit could hold </w:t>
      </w:r>
      <w:r>
        <w:rPr>
          <w:rFonts w:ascii="Times New Roman" w:eastAsia="Times New Roman" w:hAnsi="Times New Roman" w:cs="Times New Roman"/>
        </w:rPr>
        <w:t>any person that “makes available” a photo for embedding liable for infringement of the display right.</w:t>
      </w:r>
    </w:p>
    <w:p w14:paraId="00000058" w14:textId="77777777" w:rsidR="00FC13B3" w:rsidRDefault="00FC13B3">
      <w:pPr>
        <w:spacing w:line="360" w:lineRule="auto"/>
        <w:ind w:firstLine="720"/>
        <w:rPr>
          <w:rFonts w:ascii="Times New Roman" w:eastAsia="Times New Roman" w:hAnsi="Times New Roman" w:cs="Times New Roman"/>
        </w:rPr>
      </w:pPr>
    </w:p>
    <w:p w14:paraId="00000059" w14:textId="77777777" w:rsidR="00FC13B3" w:rsidRDefault="00E0033E">
      <w:pPr>
        <w:rPr>
          <w:rFonts w:ascii="Times New Roman" w:eastAsia="Times New Roman" w:hAnsi="Times New Roman" w:cs="Times New Roman"/>
          <w:b/>
        </w:rPr>
      </w:pPr>
      <w:r>
        <w:rPr>
          <w:rFonts w:ascii="Times New Roman" w:eastAsia="Times New Roman" w:hAnsi="Times New Roman" w:cs="Times New Roman"/>
          <w:b/>
        </w:rPr>
        <w:t xml:space="preserve">  B.</w:t>
      </w:r>
      <w:r>
        <w:rPr>
          <w:rFonts w:ascii="Times New Roman" w:eastAsia="Times New Roman" w:hAnsi="Times New Roman" w:cs="Times New Roman"/>
          <w:b/>
        </w:rPr>
        <w:tab/>
      </w:r>
      <w:proofErr w:type="spellStart"/>
      <w:r>
        <w:rPr>
          <w:rFonts w:ascii="Times New Roman" w:eastAsia="Times New Roman" w:hAnsi="Times New Roman" w:cs="Times New Roman"/>
          <w:b/>
          <w:i/>
        </w:rPr>
        <w:t>Aereo</w:t>
      </w:r>
      <w:proofErr w:type="spellEnd"/>
      <w:r>
        <w:rPr>
          <w:rFonts w:ascii="Times New Roman" w:eastAsia="Times New Roman" w:hAnsi="Times New Roman" w:cs="Times New Roman"/>
          <w:b/>
        </w:rPr>
        <w:t xml:space="preserve"> Restricts the Application of the Server Test to Search Engines </w:t>
      </w:r>
    </w:p>
    <w:p w14:paraId="0000005A" w14:textId="77777777" w:rsidR="00FC13B3" w:rsidRDefault="00FC13B3">
      <w:pPr>
        <w:rPr>
          <w:rFonts w:ascii="Times New Roman" w:eastAsia="Times New Roman" w:hAnsi="Times New Roman" w:cs="Times New Roman"/>
          <w:b/>
        </w:rPr>
      </w:pPr>
    </w:p>
    <w:p w14:paraId="0000005B" w14:textId="77777777" w:rsidR="00FC13B3" w:rsidRDefault="00E0033E">
      <w:pPr>
        <w:spacing w:line="360" w:lineRule="auto"/>
        <w:rPr>
          <w:rFonts w:ascii="Times New Roman" w:eastAsia="Times New Roman" w:hAnsi="Times New Roman" w:cs="Times New Roman"/>
        </w:rPr>
      </w:pPr>
      <w:r>
        <w:rPr>
          <w:rFonts w:ascii="Times New Roman" w:eastAsia="Times New Roman" w:hAnsi="Times New Roman" w:cs="Times New Roman"/>
        </w:rPr>
        <w:tab/>
        <w:t xml:space="preserve">In 2014, the Supreme Court in </w:t>
      </w:r>
      <w:proofErr w:type="spellStart"/>
      <w:r>
        <w:rPr>
          <w:rFonts w:ascii="Times New Roman" w:eastAsia="Times New Roman" w:hAnsi="Times New Roman" w:cs="Times New Roman"/>
          <w:i/>
        </w:rPr>
        <w:t>Aereo</w:t>
      </w:r>
      <w:proofErr w:type="spellEnd"/>
      <w:r>
        <w:rPr>
          <w:rFonts w:ascii="Times New Roman" w:eastAsia="Times New Roman" w:hAnsi="Times New Roman" w:cs="Times New Roman"/>
        </w:rPr>
        <w:t xml:space="preserve"> held that providers of streaming cable television publicly performed copyrighted works by capturing and converting the original broadcast into data that could be transmitted over the internet to individual subscribers.  The holding in </w:t>
      </w:r>
      <w:proofErr w:type="spellStart"/>
      <w:r>
        <w:rPr>
          <w:rFonts w:ascii="Times New Roman" w:eastAsia="Times New Roman" w:hAnsi="Times New Roman" w:cs="Times New Roman"/>
          <w:i/>
        </w:rPr>
        <w:t>Aereo</w:t>
      </w:r>
      <w:proofErr w:type="spellEnd"/>
      <w:r>
        <w:rPr>
          <w:rFonts w:ascii="Times New Roman" w:eastAsia="Times New Roman" w:hAnsi="Times New Roman" w:cs="Times New Roman"/>
        </w:rPr>
        <w:t xml:space="preserve"> undermines the</w:t>
      </w:r>
      <w:r>
        <w:rPr>
          <w:rFonts w:ascii="Times New Roman" w:eastAsia="Times New Roman" w:hAnsi="Times New Roman" w:cs="Times New Roman"/>
        </w:rPr>
        <w:t xml:space="preserve"> force and application of the Server Test in two ways.  First, the Court in </w:t>
      </w:r>
      <w:proofErr w:type="spellStart"/>
      <w:r>
        <w:rPr>
          <w:rFonts w:ascii="Times New Roman" w:eastAsia="Times New Roman" w:hAnsi="Times New Roman" w:cs="Times New Roman"/>
          <w:i/>
        </w:rPr>
        <w:t>Aereo</w:t>
      </w:r>
      <w:proofErr w:type="spellEnd"/>
      <w:r>
        <w:rPr>
          <w:rFonts w:ascii="Times New Roman" w:eastAsia="Times New Roman" w:hAnsi="Times New Roman" w:cs="Times New Roman"/>
          <w:i/>
        </w:rPr>
        <w:t xml:space="preserve"> </w:t>
      </w:r>
      <w:r>
        <w:rPr>
          <w:rFonts w:ascii="Times New Roman" w:eastAsia="Times New Roman" w:hAnsi="Times New Roman" w:cs="Times New Roman"/>
        </w:rPr>
        <w:t>strived for a technologically-neutral approach to discussing how streaming television, a novel technology at the time, intersects with the public performance right in the Cop</w:t>
      </w:r>
      <w:r>
        <w:rPr>
          <w:rFonts w:ascii="Times New Roman" w:eastAsia="Times New Roman" w:hAnsi="Times New Roman" w:cs="Times New Roman"/>
        </w:rPr>
        <w:t xml:space="preserve">yright Act.  The Court refrained from applying copyright law differently based on technical distinctions, stating that the “sole technical difference between </w:t>
      </w:r>
      <w:proofErr w:type="spellStart"/>
      <w:r>
        <w:rPr>
          <w:rFonts w:ascii="Times New Roman" w:eastAsia="Times New Roman" w:hAnsi="Times New Roman" w:cs="Times New Roman"/>
        </w:rPr>
        <w:t>Aereo</w:t>
      </w:r>
      <w:proofErr w:type="spellEnd"/>
      <w:r>
        <w:rPr>
          <w:rFonts w:ascii="Times New Roman" w:eastAsia="Times New Roman" w:hAnsi="Times New Roman" w:cs="Times New Roman"/>
        </w:rPr>
        <w:t xml:space="preserve"> and traditional cable companies does not make a critical difference here.”  This interpretat</w:t>
      </w:r>
      <w:r>
        <w:rPr>
          <w:rFonts w:ascii="Times New Roman" w:eastAsia="Times New Roman" w:hAnsi="Times New Roman" w:cs="Times New Roman"/>
        </w:rPr>
        <w:t xml:space="preserve">ion undermines the foundation of the Server Test, which rests on the “invisible distinctions” of a novel technology that the Court in </w:t>
      </w:r>
      <w:proofErr w:type="spellStart"/>
      <w:r>
        <w:rPr>
          <w:rFonts w:ascii="Times New Roman" w:eastAsia="Times New Roman" w:hAnsi="Times New Roman" w:cs="Times New Roman"/>
          <w:i/>
        </w:rPr>
        <w:t>Aereo</w:t>
      </w:r>
      <w:proofErr w:type="spellEnd"/>
      <w:r>
        <w:rPr>
          <w:rFonts w:ascii="Times New Roman" w:eastAsia="Times New Roman" w:hAnsi="Times New Roman" w:cs="Times New Roman"/>
        </w:rPr>
        <w:t xml:space="preserve"> deemphasized.  As stated in </w:t>
      </w:r>
      <w:r>
        <w:rPr>
          <w:rFonts w:ascii="Times New Roman" w:eastAsia="Times New Roman" w:hAnsi="Times New Roman" w:cs="Times New Roman"/>
          <w:i/>
        </w:rPr>
        <w:t>Goldman</w:t>
      </w:r>
      <w:r>
        <w:rPr>
          <w:rFonts w:ascii="Times New Roman" w:eastAsia="Times New Roman" w:hAnsi="Times New Roman" w:cs="Times New Roman"/>
        </w:rPr>
        <w:t xml:space="preserve">, “liability should not hinge on invisible, technical processes imperceptible to </w:t>
      </w:r>
      <w:r>
        <w:rPr>
          <w:rFonts w:ascii="Times New Roman" w:eastAsia="Times New Roman" w:hAnsi="Times New Roman" w:cs="Times New Roman"/>
        </w:rPr>
        <w:t xml:space="preserve">the viewer.”                             </w:t>
      </w:r>
    </w:p>
    <w:p w14:paraId="0000005C" w14:textId="77777777" w:rsidR="00FC13B3" w:rsidRDefault="00E0033E">
      <w:pPr>
        <w:spacing w:line="360" w:lineRule="auto"/>
        <w:rPr>
          <w:rFonts w:ascii="Times New Roman" w:eastAsia="Times New Roman" w:hAnsi="Times New Roman" w:cs="Times New Roman"/>
          <w:b/>
        </w:rPr>
      </w:pPr>
      <w:r>
        <w:rPr>
          <w:rFonts w:ascii="Times New Roman" w:eastAsia="Times New Roman" w:hAnsi="Times New Roman" w:cs="Times New Roman"/>
        </w:rPr>
        <w:tab/>
        <w:t xml:space="preserve">Second, the Court in </w:t>
      </w:r>
      <w:proofErr w:type="spellStart"/>
      <w:r>
        <w:rPr>
          <w:rFonts w:ascii="Times New Roman" w:eastAsia="Times New Roman" w:hAnsi="Times New Roman" w:cs="Times New Roman"/>
          <w:i/>
        </w:rPr>
        <w:t>Aereo</w:t>
      </w:r>
      <w:proofErr w:type="spellEnd"/>
      <w:r>
        <w:rPr>
          <w:rFonts w:ascii="Times New Roman" w:eastAsia="Times New Roman" w:hAnsi="Times New Roman" w:cs="Times New Roman"/>
          <w:i/>
        </w:rPr>
        <w:t xml:space="preserve"> </w:t>
      </w:r>
      <w:r>
        <w:rPr>
          <w:rFonts w:ascii="Times New Roman" w:eastAsia="Times New Roman" w:hAnsi="Times New Roman" w:cs="Times New Roman"/>
        </w:rPr>
        <w:t>also intended for its decision to remain limited to the specific facts in the case so that it “does not discourage the emergence or use of different kinds of technologies.”  Given the in</w:t>
      </w:r>
      <w:r>
        <w:rPr>
          <w:rFonts w:ascii="Times New Roman" w:eastAsia="Times New Roman" w:hAnsi="Times New Roman" w:cs="Times New Roman"/>
        </w:rPr>
        <w:t xml:space="preserve">tended limited application of the </w:t>
      </w:r>
      <w:proofErr w:type="spellStart"/>
      <w:r>
        <w:rPr>
          <w:rFonts w:ascii="Times New Roman" w:eastAsia="Times New Roman" w:hAnsi="Times New Roman" w:cs="Times New Roman"/>
          <w:i/>
        </w:rPr>
        <w:t>Aereo’s</w:t>
      </w:r>
      <w:proofErr w:type="spellEnd"/>
      <w:r>
        <w:rPr>
          <w:rFonts w:ascii="Times New Roman" w:eastAsia="Times New Roman" w:hAnsi="Times New Roman" w:cs="Times New Roman"/>
        </w:rPr>
        <w:t xml:space="preserve"> holding, the extension of Server Test should never have reached beyond the scope of the technical subject matter discussed in </w:t>
      </w:r>
      <w:r>
        <w:rPr>
          <w:rFonts w:ascii="Times New Roman" w:eastAsia="Times New Roman" w:hAnsi="Times New Roman" w:cs="Times New Roman"/>
          <w:i/>
        </w:rPr>
        <w:t>Perfect 10</w:t>
      </w:r>
      <w:r>
        <w:rPr>
          <w:rFonts w:ascii="Times New Roman" w:eastAsia="Times New Roman" w:hAnsi="Times New Roman" w:cs="Times New Roman"/>
        </w:rPr>
        <w:t>.  With the Server Test narrowly applied to cases dealing with search engines,</w:t>
      </w:r>
      <w:r>
        <w:rPr>
          <w:rFonts w:ascii="Times New Roman" w:eastAsia="Times New Roman" w:hAnsi="Times New Roman" w:cs="Times New Roman"/>
        </w:rPr>
        <w:t xml:space="preserve"> the force of its effect on the display right will weaken.  By extension, content embedding that occurs outside the context of search engine use will increasingly be viewed as an infringing activity.    </w:t>
      </w:r>
    </w:p>
    <w:p w14:paraId="0000005D" w14:textId="77777777" w:rsidR="00FC13B3" w:rsidRDefault="00FC13B3">
      <w:pPr>
        <w:spacing w:line="360" w:lineRule="auto"/>
        <w:rPr>
          <w:rFonts w:ascii="Times New Roman" w:eastAsia="Times New Roman" w:hAnsi="Times New Roman" w:cs="Times New Roman"/>
          <w:b/>
        </w:rPr>
      </w:pPr>
    </w:p>
    <w:p w14:paraId="0000005E" w14:textId="77777777" w:rsidR="00FC13B3" w:rsidRDefault="00E0033E">
      <w:pPr>
        <w:rPr>
          <w:rFonts w:ascii="Times New Roman" w:eastAsia="Times New Roman" w:hAnsi="Times New Roman" w:cs="Times New Roman"/>
          <w:b/>
        </w:rPr>
      </w:pPr>
      <w:r>
        <w:rPr>
          <w:rFonts w:ascii="Times New Roman" w:eastAsia="Times New Roman" w:hAnsi="Times New Roman" w:cs="Times New Roman"/>
          <w:b/>
        </w:rPr>
        <w:lastRenderedPageBreak/>
        <w:t xml:space="preserve">  C.</w:t>
      </w:r>
      <w:r>
        <w:rPr>
          <w:rFonts w:ascii="Times New Roman" w:eastAsia="Times New Roman" w:hAnsi="Times New Roman" w:cs="Times New Roman"/>
          <w:b/>
        </w:rPr>
        <w:tab/>
        <w:t>The European Union’s “Link Tax” Strengthens th</w:t>
      </w:r>
      <w:r>
        <w:rPr>
          <w:rFonts w:ascii="Times New Roman" w:eastAsia="Times New Roman" w:hAnsi="Times New Roman" w:cs="Times New Roman"/>
          <w:b/>
        </w:rPr>
        <w:t xml:space="preserve">e Display Right of Creators </w:t>
      </w:r>
    </w:p>
    <w:p w14:paraId="0000005F" w14:textId="77777777" w:rsidR="00FC13B3" w:rsidRDefault="00FC13B3">
      <w:pPr>
        <w:rPr>
          <w:rFonts w:ascii="Times New Roman" w:eastAsia="Times New Roman" w:hAnsi="Times New Roman" w:cs="Times New Roman"/>
        </w:rPr>
      </w:pPr>
    </w:p>
    <w:p w14:paraId="00000060" w14:textId="77777777" w:rsidR="00FC13B3" w:rsidRDefault="00E0033E">
      <w:pPr>
        <w:spacing w:line="360" w:lineRule="auto"/>
        <w:rPr>
          <w:rFonts w:ascii="Times New Roman" w:eastAsia="Times New Roman" w:hAnsi="Times New Roman" w:cs="Times New Roman"/>
        </w:rPr>
      </w:pPr>
      <w:r>
        <w:rPr>
          <w:rFonts w:ascii="Times New Roman" w:eastAsia="Times New Roman" w:hAnsi="Times New Roman" w:cs="Times New Roman"/>
        </w:rPr>
        <w:tab/>
        <w:t>The controversial introduction of the European Union’s Copyright Directive also signals a shift towards strengthening the display right of creators and recalibrating the balance of power between large technology companies and</w:t>
      </w:r>
      <w:r>
        <w:rPr>
          <w:rFonts w:ascii="Times New Roman" w:eastAsia="Times New Roman" w:hAnsi="Times New Roman" w:cs="Times New Roman"/>
        </w:rPr>
        <w:t xml:space="preserve"> internet users.</w:t>
      </w:r>
      <w:r>
        <w:rPr>
          <w:rFonts w:ascii="Times New Roman" w:eastAsia="Times New Roman" w:hAnsi="Times New Roman" w:cs="Times New Roman"/>
          <w:vertAlign w:val="superscript"/>
        </w:rPr>
        <w:footnoteReference w:id="41"/>
      </w:r>
      <w:r>
        <w:rPr>
          <w:rFonts w:ascii="Times New Roman" w:eastAsia="Times New Roman" w:hAnsi="Times New Roman" w:cs="Times New Roman"/>
        </w:rPr>
        <w:t xml:space="preserve">  To date, Article 11 and 13 have drawn the most criticism.</w:t>
      </w:r>
      <w:r>
        <w:rPr>
          <w:rFonts w:ascii="Times New Roman" w:eastAsia="Times New Roman" w:hAnsi="Times New Roman" w:cs="Times New Roman"/>
          <w:vertAlign w:val="superscript"/>
        </w:rPr>
        <w:footnoteReference w:id="42"/>
      </w:r>
      <w:r>
        <w:rPr>
          <w:rFonts w:ascii="Times New Roman" w:eastAsia="Times New Roman" w:hAnsi="Times New Roman" w:cs="Times New Roman"/>
        </w:rPr>
        <w:t xml:space="preserve">  </w:t>
      </w:r>
    </w:p>
    <w:p w14:paraId="00000061"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Article 11, known as the “link tax,” would allow publishers to charge news aggregators for reproducing more than “single words or very short extracts” of news stories.</w:t>
      </w:r>
      <w:r>
        <w:rPr>
          <w:rFonts w:ascii="Times New Roman" w:eastAsia="Times New Roman" w:hAnsi="Times New Roman" w:cs="Times New Roman"/>
          <w:vertAlign w:val="superscript"/>
        </w:rPr>
        <w:footnoteReference w:id="43"/>
      </w:r>
      <w:r>
        <w:rPr>
          <w:rFonts w:ascii="Times New Roman" w:eastAsia="Times New Roman" w:hAnsi="Times New Roman" w:cs="Times New Roman"/>
        </w:rPr>
        <w:t xml:space="preserve">  Art</w:t>
      </w:r>
      <w:r>
        <w:rPr>
          <w:rFonts w:ascii="Times New Roman" w:eastAsia="Times New Roman" w:hAnsi="Times New Roman" w:cs="Times New Roman"/>
        </w:rPr>
        <w:t>icle 11 would also allow EU member states to ban links to news stories that reproduce too much of the original source.  Article 13, known as the “upload filter,” requires internet platforms to proactively scan user’s posts for potentially infringing conten</w:t>
      </w:r>
      <w:r>
        <w:rPr>
          <w:rFonts w:ascii="Times New Roman" w:eastAsia="Times New Roman" w:hAnsi="Times New Roman" w:cs="Times New Roman"/>
        </w:rPr>
        <w:t xml:space="preserve">t.  This legislation bolsters a creator’s right to display a copyrighted work and encourages licensing activity that supports creators.  </w:t>
      </w:r>
    </w:p>
    <w:p w14:paraId="00000062"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Critics complain that Article 11 and 13 of the Copyright Directive could lead to unnecessary censorship and market con</w:t>
      </w:r>
      <w:r>
        <w:rPr>
          <w:rFonts w:ascii="Times New Roman" w:eastAsia="Times New Roman" w:hAnsi="Times New Roman" w:cs="Times New Roman"/>
        </w:rPr>
        <w:t>centration in the news media sector.</w:t>
      </w:r>
      <w:r>
        <w:rPr>
          <w:rFonts w:ascii="Times New Roman" w:eastAsia="Times New Roman" w:hAnsi="Times New Roman" w:cs="Times New Roman"/>
          <w:vertAlign w:val="superscript"/>
        </w:rPr>
        <w:footnoteReference w:id="44"/>
      </w:r>
      <w:r>
        <w:rPr>
          <w:rFonts w:ascii="Times New Roman" w:eastAsia="Times New Roman" w:hAnsi="Times New Roman" w:cs="Times New Roman"/>
        </w:rPr>
        <w:t xml:space="preserve">  However, in reality, EU regulators are riding the broader trend of championing the rights of creators who have trivial bargaining power to enforce display rights or to be compensated for infringing uses of their creative works. This is not a new phenomen</w:t>
      </w:r>
      <w:r>
        <w:rPr>
          <w:rFonts w:ascii="Times New Roman" w:eastAsia="Times New Roman" w:hAnsi="Times New Roman" w:cs="Times New Roman"/>
        </w:rPr>
        <w:t>on for EU regulators, who have already advocated strongly for data subject rights through the implementation of the General Data Protection Regulation.  This global trend suggests that rights in copyright and broader support for user rights will continue t</w:t>
      </w:r>
      <w:r>
        <w:rPr>
          <w:rFonts w:ascii="Times New Roman" w:eastAsia="Times New Roman" w:hAnsi="Times New Roman" w:cs="Times New Roman"/>
        </w:rPr>
        <w:t xml:space="preserve">o be strengthened, especially by international treaties.  As user rights gain momentum, the free-style practice of embedding content on internet and social media platforms will continue to come under attack.       </w:t>
      </w:r>
    </w:p>
    <w:p w14:paraId="00000063" w14:textId="77777777" w:rsidR="00FC13B3" w:rsidRDefault="00FC13B3">
      <w:pPr>
        <w:rPr>
          <w:rFonts w:ascii="Times New Roman" w:eastAsia="Times New Roman" w:hAnsi="Times New Roman" w:cs="Times New Roman"/>
        </w:rPr>
      </w:pPr>
    </w:p>
    <w:p w14:paraId="00000064" w14:textId="77777777" w:rsidR="00FC13B3" w:rsidRDefault="00E0033E">
      <w:pPr>
        <w:rPr>
          <w:rFonts w:ascii="Times New Roman" w:eastAsia="Times New Roman" w:hAnsi="Times New Roman" w:cs="Times New Roman"/>
          <w:b/>
        </w:rPr>
      </w:pPr>
      <w:r>
        <w:rPr>
          <w:rFonts w:ascii="Times New Roman" w:eastAsia="Times New Roman" w:hAnsi="Times New Roman" w:cs="Times New Roman"/>
          <w:b/>
        </w:rPr>
        <w:t>PART IV: LICENSING AROUND THE DISPLAY RI</w:t>
      </w:r>
      <w:r>
        <w:rPr>
          <w:rFonts w:ascii="Times New Roman" w:eastAsia="Times New Roman" w:hAnsi="Times New Roman" w:cs="Times New Roman"/>
          <w:b/>
        </w:rPr>
        <w:t xml:space="preserve">GHT </w:t>
      </w:r>
    </w:p>
    <w:p w14:paraId="00000065" w14:textId="77777777" w:rsidR="00FC13B3" w:rsidRDefault="00FC13B3">
      <w:pPr>
        <w:rPr>
          <w:rFonts w:ascii="Times New Roman" w:eastAsia="Times New Roman" w:hAnsi="Times New Roman" w:cs="Times New Roman"/>
          <w:b/>
        </w:rPr>
      </w:pPr>
    </w:p>
    <w:p w14:paraId="00000066" w14:textId="77777777" w:rsidR="00FC13B3" w:rsidRDefault="00E0033E">
      <w:pPr>
        <w:numPr>
          <w:ilvl w:val="0"/>
          <w:numId w:val="2"/>
        </w:numPr>
        <w:rPr>
          <w:rFonts w:ascii="Times New Roman" w:eastAsia="Times New Roman" w:hAnsi="Times New Roman" w:cs="Times New Roman"/>
          <w:b/>
        </w:rPr>
      </w:pPr>
      <w:r>
        <w:rPr>
          <w:rFonts w:ascii="Times New Roman" w:eastAsia="Times New Roman" w:hAnsi="Times New Roman" w:cs="Times New Roman"/>
          <w:b/>
        </w:rPr>
        <w:t xml:space="preserve">Express and Implied Licenses </w:t>
      </w:r>
    </w:p>
    <w:p w14:paraId="00000067" w14:textId="77777777" w:rsidR="00FC13B3" w:rsidRDefault="00FC13B3">
      <w:pPr>
        <w:rPr>
          <w:rFonts w:ascii="Times New Roman" w:eastAsia="Times New Roman" w:hAnsi="Times New Roman" w:cs="Times New Roman"/>
          <w:b/>
        </w:rPr>
      </w:pPr>
    </w:p>
    <w:p w14:paraId="00000068" w14:textId="77777777" w:rsidR="00FC13B3" w:rsidRDefault="00E0033E">
      <w:pPr>
        <w:spacing w:line="360" w:lineRule="auto"/>
        <w:rPr>
          <w:rFonts w:ascii="Times New Roman" w:eastAsia="Times New Roman" w:hAnsi="Times New Roman" w:cs="Times New Roman"/>
        </w:rPr>
      </w:pPr>
      <w:r>
        <w:rPr>
          <w:rFonts w:ascii="Times New Roman" w:eastAsia="Times New Roman" w:hAnsi="Times New Roman" w:cs="Times New Roman"/>
        </w:rPr>
        <w:tab/>
        <w:t xml:space="preserve">The holding in </w:t>
      </w:r>
      <w:r>
        <w:rPr>
          <w:rFonts w:ascii="Times New Roman" w:eastAsia="Times New Roman" w:hAnsi="Times New Roman" w:cs="Times New Roman"/>
          <w:i/>
        </w:rPr>
        <w:t>Goldman</w:t>
      </w:r>
      <w:r>
        <w:rPr>
          <w:rFonts w:ascii="Times New Roman" w:eastAsia="Times New Roman" w:hAnsi="Times New Roman" w:cs="Times New Roman"/>
        </w:rPr>
        <w:t xml:space="preserve"> should not be read as a blanket restriction on all embedding activity.  Internet users can still embed copyrighted content if they have permission from the copyright owner or have a valid copyrig</w:t>
      </w:r>
      <w:r>
        <w:rPr>
          <w:rFonts w:ascii="Times New Roman" w:eastAsia="Times New Roman" w:hAnsi="Times New Roman" w:cs="Times New Roman"/>
        </w:rPr>
        <w:t>ht license to embed the content.  A valid license “immunizes the licensee from a charge of copyright infringement, provided that the licensee uses the copyright as agreed with the licensor.”</w:t>
      </w:r>
      <w:r>
        <w:rPr>
          <w:rFonts w:ascii="Times New Roman" w:eastAsia="Times New Roman" w:hAnsi="Times New Roman" w:cs="Times New Roman"/>
          <w:vertAlign w:val="superscript"/>
        </w:rPr>
        <w:footnoteReference w:id="45"/>
      </w:r>
      <w:r>
        <w:rPr>
          <w:rFonts w:ascii="Times New Roman" w:eastAsia="Times New Roman" w:hAnsi="Times New Roman" w:cs="Times New Roman"/>
        </w:rPr>
        <w:t xml:space="preserve">  Two of the most common licenses include express and implied li</w:t>
      </w:r>
      <w:r>
        <w:rPr>
          <w:rFonts w:ascii="Times New Roman" w:eastAsia="Times New Roman" w:hAnsi="Times New Roman" w:cs="Times New Roman"/>
        </w:rPr>
        <w:t xml:space="preserve">censes.    </w:t>
      </w:r>
    </w:p>
    <w:p w14:paraId="00000069"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lastRenderedPageBreak/>
        <w:t>An express license is a written agreement between the licensee and licensor that expressly states the terms and scope of the use of the copyrighted work within the four corners of the contract.</w:t>
      </w:r>
      <w:r>
        <w:rPr>
          <w:rFonts w:ascii="Times New Roman" w:eastAsia="Times New Roman" w:hAnsi="Times New Roman" w:cs="Times New Roman"/>
          <w:vertAlign w:val="superscript"/>
        </w:rPr>
        <w:footnoteReference w:id="46"/>
      </w:r>
      <w:r>
        <w:rPr>
          <w:rFonts w:ascii="Times New Roman" w:eastAsia="Times New Roman" w:hAnsi="Times New Roman" w:cs="Times New Roman"/>
        </w:rPr>
        <w:t xml:space="preserve">  Because copyright licenses are essentially cont</w:t>
      </w:r>
      <w:r>
        <w:rPr>
          <w:rFonts w:ascii="Times New Roman" w:eastAsia="Times New Roman" w:hAnsi="Times New Roman" w:cs="Times New Roman"/>
        </w:rPr>
        <w:t>racts, the basic elements of a contract apply.</w:t>
      </w:r>
      <w:r>
        <w:rPr>
          <w:rFonts w:ascii="Times New Roman" w:eastAsia="Times New Roman" w:hAnsi="Times New Roman" w:cs="Times New Roman"/>
          <w:vertAlign w:val="superscript"/>
        </w:rPr>
        <w:footnoteReference w:id="47"/>
      </w:r>
      <w:r>
        <w:rPr>
          <w:rFonts w:ascii="Times New Roman" w:eastAsia="Times New Roman" w:hAnsi="Times New Roman" w:cs="Times New Roman"/>
        </w:rPr>
        <w:t xml:space="preserve">  Without an offer, acceptance, mutual assent, and consideration, a valid contract or license never existed.  By extension, a licensee can be capable of breaching the contractual obligations imposed by the li</w:t>
      </w:r>
      <w:r>
        <w:rPr>
          <w:rFonts w:ascii="Times New Roman" w:eastAsia="Times New Roman" w:hAnsi="Times New Roman" w:cs="Times New Roman"/>
        </w:rPr>
        <w:t>cense, but cannot be liable for infringing the copyright rights that are central to the agreement.</w:t>
      </w:r>
      <w:r>
        <w:rPr>
          <w:rFonts w:ascii="Times New Roman" w:eastAsia="Times New Roman" w:hAnsi="Times New Roman" w:cs="Times New Roman"/>
          <w:vertAlign w:val="superscript"/>
        </w:rPr>
        <w:footnoteReference w:id="48"/>
      </w:r>
      <w:r>
        <w:rPr>
          <w:rFonts w:ascii="Times New Roman" w:eastAsia="Times New Roman" w:hAnsi="Times New Roman" w:cs="Times New Roman"/>
        </w:rPr>
        <w:t xml:space="preserve">  The scope of an express license is significant as many copyright infringement claims turn on whether the defendant’s use was authorized pursuant to the ex</w:t>
      </w:r>
      <w:r>
        <w:rPr>
          <w:rFonts w:ascii="Times New Roman" w:eastAsia="Times New Roman" w:hAnsi="Times New Roman" w:cs="Times New Roman"/>
        </w:rPr>
        <w:t>press language of the license agreement.</w:t>
      </w:r>
      <w:r>
        <w:rPr>
          <w:rFonts w:ascii="Times New Roman" w:eastAsia="Times New Roman" w:hAnsi="Times New Roman" w:cs="Times New Roman"/>
          <w:vertAlign w:val="superscript"/>
        </w:rPr>
        <w:footnoteReference w:id="49"/>
      </w:r>
      <w:r>
        <w:rPr>
          <w:rFonts w:ascii="Times New Roman" w:eastAsia="Times New Roman" w:hAnsi="Times New Roman" w:cs="Times New Roman"/>
        </w:rPr>
        <w:t xml:space="preserve">  Again, contract interpretation is central to understanding the rights that were conveyed under the license and the legality of the activities performed given the existence of the license.  When an express license</w:t>
      </w:r>
      <w:r>
        <w:rPr>
          <w:rFonts w:ascii="Times New Roman" w:eastAsia="Times New Roman" w:hAnsi="Times New Roman" w:cs="Times New Roman"/>
        </w:rPr>
        <w:t xml:space="preserve"> is “complete, clear, and unambiguous,” it must be “enforced according to the plain meaning of its terms.”</w:t>
      </w:r>
      <w:r>
        <w:rPr>
          <w:rFonts w:ascii="Times New Roman" w:eastAsia="Times New Roman" w:hAnsi="Times New Roman" w:cs="Times New Roman"/>
          <w:vertAlign w:val="superscript"/>
        </w:rPr>
        <w:footnoteReference w:id="50"/>
      </w:r>
      <w:r>
        <w:rPr>
          <w:rFonts w:ascii="Times New Roman" w:eastAsia="Times New Roman" w:hAnsi="Times New Roman" w:cs="Times New Roman"/>
        </w:rPr>
        <w:t xml:space="preserve">  However, when the license terms are unclear, juries must determine the correct interpretation and can take the parties’ intent into the calculatio</w:t>
      </w:r>
      <w:r>
        <w:rPr>
          <w:rFonts w:ascii="Times New Roman" w:eastAsia="Times New Roman" w:hAnsi="Times New Roman" w:cs="Times New Roman"/>
        </w:rPr>
        <w:t>n.</w:t>
      </w:r>
      <w:r>
        <w:rPr>
          <w:rFonts w:ascii="Times New Roman" w:eastAsia="Times New Roman" w:hAnsi="Times New Roman" w:cs="Times New Roman"/>
          <w:vertAlign w:val="superscript"/>
        </w:rPr>
        <w:footnoteReference w:id="51"/>
      </w:r>
      <w:r>
        <w:rPr>
          <w:rFonts w:ascii="Times New Roman" w:eastAsia="Times New Roman" w:hAnsi="Times New Roman" w:cs="Times New Roman"/>
        </w:rPr>
        <w:t xml:space="preserve">                   </w:t>
      </w:r>
    </w:p>
    <w:p w14:paraId="0000006A"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An implied license is an unwritten agreement that allows the licensee to use the copyrighted work in a way that would normally require the express permission of the copyright holder or licensor.  An implied license “can only exist w</w:t>
      </w:r>
      <w:r>
        <w:rPr>
          <w:rFonts w:ascii="Times New Roman" w:eastAsia="Times New Roman" w:hAnsi="Times New Roman" w:cs="Times New Roman"/>
        </w:rPr>
        <w:t>here an author creates a copyrighted work with knowledge and intent that the work would be used by another for a specific purpose.”</w:t>
      </w:r>
      <w:r>
        <w:rPr>
          <w:rFonts w:ascii="Times New Roman" w:eastAsia="Times New Roman" w:hAnsi="Times New Roman" w:cs="Times New Roman"/>
          <w:vertAlign w:val="superscript"/>
        </w:rPr>
        <w:footnoteReference w:id="52"/>
      </w:r>
      <w:r>
        <w:rPr>
          <w:rFonts w:ascii="Times New Roman" w:eastAsia="Times New Roman" w:hAnsi="Times New Roman" w:cs="Times New Roman"/>
        </w:rPr>
        <w:t xml:space="preserve">  Courts typically look at the course of dealings between the parties,</w:t>
      </w:r>
      <w:r>
        <w:rPr>
          <w:rFonts w:ascii="Times New Roman" w:eastAsia="Times New Roman" w:hAnsi="Times New Roman" w:cs="Times New Roman"/>
          <w:vertAlign w:val="superscript"/>
        </w:rPr>
        <w:footnoteReference w:id="53"/>
      </w:r>
      <w:r>
        <w:rPr>
          <w:rFonts w:ascii="Times New Roman" w:eastAsia="Times New Roman" w:hAnsi="Times New Roman" w:cs="Times New Roman"/>
        </w:rPr>
        <w:t xml:space="preserve"> the passage of time afforded to terminate the implied license,</w:t>
      </w:r>
      <w:r>
        <w:rPr>
          <w:rFonts w:ascii="Times New Roman" w:eastAsia="Times New Roman" w:hAnsi="Times New Roman" w:cs="Times New Roman"/>
          <w:vertAlign w:val="superscript"/>
        </w:rPr>
        <w:footnoteReference w:id="54"/>
      </w:r>
      <w:r>
        <w:rPr>
          <w:rFonts w:ascii="Times New Roman" w:eastAsia="Times New Roman" w:hAnsi="Times New Roman" w:cs="Times New Roman"/>
        </w:rPr>
        <w:t xml:space="preserve"> and the customary practice in a particular business or trade</w:t>
      </w:r>
      <w:r>
        <w:rPr>
          <w:rFonts w:ascii="Times New Roman" w:eastAsia="Times New Roman" w:hAnsi="Times New Roman" w:cs="Times New Roman"/>
          <w:vertAlign w:val="superscript"/>
        </w:rPr>
        <w:footnoteReference w:id="55"/>
      </w:r>
      <w:r>
        <w:rPr>
          <w:rFonts w:ascii="Times New Roman" w:eastAsia="Times New Roman" w:hAnsi="Times New Roman" w:cs="Times New Roman"/>
        </w:rPr>
        <w:t xml:space="preserve"> in deciding whether an implied license was in effect.  </w:t>
      </w:r>
      <w:r>
        <w:rPr>
          <w:rFonts w:ascii="Times New Roman" w:eastAsia="Times New Roman" w:hAnsi="Times New Roman" w:cs="Times New Roman"/>
        </w:rPr>
        <w:t>Contradictions exist in the law around implied licenses, and some appellate courts caution that implied licenses “should be found only in narrow circumstances where one party created a work at the other’s request and handed it over, intending that the othe</w:t>
      </w:r>
      <w:r>
        <w:rPr>
          <w:rFonts w:ascii="Times New Roman" w:eastAsia="Times New Roman" w:hAnsi="Times New Roman" w:cs="Times New Roman"/>
        </w:rPr>
        <w:t>r [party] copy and distribute it.”</w:t>
      </w:r>
      <w:r>
        <w:rPr>
          <w:rFonts w:ascii="Times New Roman" w:eastAsia="Times New Roman" w:hAnsi="Times New Roman" w:cs="Times New Roman"/>
          <w:vertAlign w:val="superscript"/>
        </w:rPr>
        <w:footnoteReference w:id="56"/>
      </w:r>
      <w:r>
        <w:rPr>
          <w:rFonts w:ascii="Times New Roman" w:eastAsia="Times New Roman" w:hAnsi="Times New Roman" w:cs="Times New Roman"/>
        </w:rPr>
        <w:t xml:space="preserve">   </w:t>
      </w:r>
    </w:p>
    <w:p w14:paraId="0000006B" w14:textId="77777777" w:rsidR="00FC13B3" w:rsidRDefault="00E0033E">
      <w:pPr>
        <w:spacing w:line="360" w:lineRule="auto"/>
        <w:ind w:firstLine="720"/>
        <w:rPr>
          <w:rFonts w:ascii="Times New Roman" w:eastAsia="Times New Roman" w:hAnsi="Times New Roman" w:cs="Times New Roman"/>
          <w:b/>
        </w:rPr>
      </w:pPr>
      <w:r>
        <w:rPr>
          <w:rFonts w:ascii="Times New Roman" w:eastAsia="Times New Roman" w:hAnsi="Times New Roman" w:cs="Times New Roman"/>
        </w:rPr>
        <w:t xml:space="preserve"> </w:t>
      </w:r>
    </w:p>
    <w:p w14:paraId="0000006C" w14:textId="77777777" w:rsidR="00FC13B3" w:rsidRDefault="00E0033E">
      <w:pPr>
        <w:numPr>
          <w:ilvl w:val="0"/>
          <w:numId w:val="2"/>
        </w:numPr>
        <w:rPr>
          <w:rFonts w:ascii="Times New Roman" w:eastAsia="Times New Roman" w:hAnsi="Times New Roman" w:cs="Times New Roman"/>
          <w:b/>
        </w:rPr>
      </w:pPr>
      <w:r>
        <w:rPr>
          <w:rFonts w:ascii="Times New Roman" w:eastAsia="Times New Roman" w:hAnsi="Times New Roman" w:cs="Times New Roman"/>
          <w:b/>
        </w:rPr>
        <w:t xml:space="preserve">Invalid Sublicense in </w:t>
      </w:r>
      <w:proofErr w:type="spellStart"/>
      <w:r>
        <w:rPr>
          <w:rFonts w:ascii="Times New Roman" w:eastAsia="Times New Roman" w:hAnsi="Times New Roman" w:cs="Times New Roman"/>
          <w:b/>
          <w:i/>
        </w:rPr>
        <w:t>McGucken</w:t>
      </w:r>
      <w:proofErr w:type="spellEnd"/>
      <w:r>
        <w:rPr>
          <w:rFonts w:ascii="Times New Roman" w:eastAsia="Times New Roman" w:hAnsi="Times New Roman" w:cs="Times New Roman"/>
          <w:b/>
          <w:i/>
        </w:rPr>
        <w:t xml:space="preserve"> v. Newsweek </w:t>
      </w:r>
    </w:p>
    <w:p w14:paraId="0000006D" w14:textId="77777777" w:rsidR="00FC13B3" w:rsidRDefault="00FC13B3">
      <w:pPr>
        <w:rPr>
          <w:rFonts w:ascii="Times New Roman" w:eastAsia="Times New Roman" w:hAnsi="Times New Roman" w:cs="Times New Roman"/>
          <w:b/>
          <w:i/>
        </w:rPr>
      </w:pPr>
    </w:p>
    <w:p w14:paraId="0000006E"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lastRenderedPageBreak/>
        <w:t xml:space="preserve">Two years after the </w:t>
      </w:r>
      <w:r>
        <w:rPr>
          <w:rFonts w:ascii="Times New Roman" w:eastAsia="Times New Roman" w:hAnsi="Times New Roman" w:cs="Times New Roman"/>
          <w:i/>
        </w:rPr>
        <w:t>Goldman</w:t>
      </w:r>
      <w:r>
        <w:rPr>
          <w:rFonts w:ascii="Times New Roman" w:eastAsia="Times New Roman" w:hAnsi="Times New Roman" w:cs="Times New Roman"/>
        </w:rPr>
        <w:t xml:space="preserve"> opinion, the Southern District of New York in </w:t>
      </w:r>
      <w:proofErr w:type="spellStart"/>
      <w:r>
        <w:rPr>
          <w:rFonts w:ascii="Times New Roman" w:eastAsia="Times New Roman" w:hAnsi="Times New Roman" w:cs="Times New Roman"/>
          <w:i/>
        </w:rPr>
        <w:t>McGucken</w:t>
      </w:r>
      <w:proofErr w:type="spellEnd"/>
      <w:r>
        <w:rPr>
          <w:rFonts w:ascii="Times New Roman" w:eastAsia="Times New Roman" w:hAnsi="Times New Roman" w:cs="Times New Roman"/>
          <w:i/>
        </w:rPr>
        <w:t xml:space="preserve"> v. Newsweek </w:t>
      </w:r>
      <w:r>
        <w:rPr>
          <w:rFonts w:ascii="Times New Roman" w:eastAsia="Times New Roman" w:hAnsi="Times New Roman" w:cs="Times New Roman"/>
        </w:rPr>
        <w:t xml:space="preserve">considered whether reading together snippets of Instagram’s terms and policies created a valid sublicense to embed content without the creator’s permission.  In </w:t>
      </w:r>
      <w:proofErr w:type="spellStart"/>
      <w:r>
        <w:rPr>
          <w:rFonts w:ascii="Times New Roman" w:eastAsia="Times New Roman" w:hAnsi="Times New Roman" w:cs="Times New Roman"/>
          <w:i/>
        </w:rPr>
        <w:t>McGucken</w:t>
      </w:r>
      <w:proofErr w:type="spellEnd"/>
      <w:r>
        <w:rPr>
          <w:rFonts w:ascii="Times New Roman" w:eastAsia="Times New Roman" w:hAnsi="Times New Roman" w:cs="Times New Roman"/>
        </w:rPr>
        <w:t xml:space="preserve">, landscape photographer Elliot </w:t>
      </w:r>
      <w:proofErr w:type="spellStart"/>
      <w:r>
        <w:rPr>
          <w:rFonts w:ascii="Times New Roman" w:eastAsia="Times New Roman" w:hAnsi="Times New Roman" w:cs="Times New Roman"/>
        </w:rPr>
        <w:t>McGucken</w:t>
      </w:r>
      <w:proofErr w:type="spellEnd"/>
      <w:r>
        <w:rPr>
          <w:rFonts w:ascii="Times New Roman" w:eastAsia="Times New Roman" w:hAnsi="Times New Roman" w:cs="Times New Roman"/>
        </w:rPr>
        <w:t xml:space="preserve"> took a picture of a rare, ephemeral lake in De</w:t>
      </w:r>
      <w:r>
        <w:rPr>
          <w:rFonts w:ascii="Times New Roman" w:eastAsia="Times New Roman" w:hAnsi="Times New Roman" w:cs="Times New Roman"/>
        </w:rPr>
        <w:t>ath Valley National Park, one of the hottest and driest places in North America, and posted the photo on his public Instagram account.</w:t>
      </w:r>
      <w:r>
        <w:rPr>
          <w:rFonts w:ascii="Times New Roman" w:eastAsia="Times New Roman" w:hAnsi="Times New Roman" w:cs="Times New Roman"/>
          <w:vertAlign w:val="superscript"/>
        </w:rPr>
        <w:footnoteReference w:id="57"/>
      </w:r>
      <w:r>
        <w:rPr>
          <w:rFonts w:ascii="Times New Roman" w:eastAsia="Times New Roman" w:hAnsi="Times New Roman" w:cs="Times New Roman"/>
        </w:rPr>
        <w:t xml:space="preserve">  Newsweek published an article about the lake and embedded </w:t>
      </w:r>
      <w:proofErr w:type="spellStart"/>
      <w:r>
        <w:rPr>
          <w:rFonts w:ascii="Times New Roman" w:eastAsia="Times New Roman" w:hAnsi="Times New Roman" w:cs="Times New Roman"/>
        </w:rPr>
        <w:t>McGucken’s</w:t>
      </w:r>
      <w:proofErr w:type="spellEnd"/>
      <w:r>
        <w:rPr>
          <w:rFonts w:ascii="Times New Roman" w:eastAsia="Times New Roman" w:hAnsi="Times New Roman" w:cs="Times New Roman"/>
        </w:rPr>
        <w:t xml:space="preserve"> photo without obtaining consent from </w:t>
      </w:r>
      <w:proofErr w:type="spellStart"/>
      <w:r>
        <w:rPr>
          <w:rFonts w:ascii="Times New Roman" w:eastAsia="Times New Roman" w:hAnsi="Times New Roman" w:cs="Times New Roman"/>
        </w:rPr>
        <w:t>McGucken</w:t>
      </w:r>
      <w:proofErr w:type="spellEnd"/>
      <w:r>
        <w:rPr>
          <w:rFonts w:ascii="Times New Roman" w:eastAsia="Times New Roman" w:hAnsi="Times New Roman" w:cs="Times New Roman"/>
        </w:rPr>
        <w:t xml:space="preserve"> or </w:t>
      </w:r>
      <w:r>
        <w:rPr>
          <w:rFonts w:ascii="Times New Roman" w:eastAsia="Times New Roman" w:hAnsi="Times New Roman" w:cs="Times New Roman"/>
        </w:rPr>
        <w:t xml:space="preserve">compensating him.  Newsweek argues that it did not infringe </w:t>
      </w:r>
      <w:proofErr w:type="spellStart"/>
      <w:r>
        <w:rPr>
          <w:rFonts w:ascii="Times New Roman" w:eastAsia="Times New Roman" w:hAnsi="Times New Roman" w:cs="Times New Roman"/>
        </w:rPr>
        <w:t>McGucken’s</w:t>
      </w:r>
      <w:proofErr w:type="spellEnd"/>
      <w:r>
        <w:rPr>
          <w:rFonts w:ascii="Times New Roman" w:eastAsia="Times New Roman" w:hAnsi="Times New Roman" w:cs="Times New Roman"/>
        </w:rPr>
        <w:t xml:space="preserve"> display right in the photo because when </w:t>
      </w:r>
      <w:proofErr w:type="spellStart"/>
      <w:r>
        <w:rPr>
          <w:rFonts w:ascii="Times New Roman" w:eastAsia="Times New Roman" w:hAnsi="Times New Roman" w:cs="Times New Roman"/>
        </w:rPr>
        <w:t>McGucken</w:t>
      </w:r>
      <w:proofErr w:type="spellEnd"/>
      <w:r>
        <w:rPr>
          <w:rFonts w:ascii="Times New Roman" w:eastAsia="Times New Roman" w:hAnsi="Times New Roman" w:cs="Times New Roman"/>
        </w:rPr>
        <w:t xml:space="preserve"> created an account on Instagram, he consented to the platform’s Terms of Use.  The rights granted to Instagram in the Terms of Use are e</w:t>
      </w:r>
      <w:r>
        <w:rPr>
          <w:rFonts w:ascii="Times New Roman" w:eastAsia="Times New Roman" w:hAnsi="Times New Roman" w:cs="Times New Roman"/>
        </w:rPr>
        <w:t>xpansive in scope, and includes granting Instagram the right to “sublicense” content shared by users:</w:t>
      </w:r>
    </w:p>
    <w:p w14:paraId="0000006F"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 xml:space="preserve"> </w:t>
      </w:r>
    </w:p>
    <w:p w14:paraId="00000070" w14:textId="77777777" w:rsidR="00FC13B3" w:rsidRDefault="00E0033E">
      <w:pPr>
        <w:ind w:firstLine="720"/>
        <w:rPr>
          <w:rFonts w:ascii="Times New Roman" w:eastAsia="Times New Roman" w:hAnsi="Times New Roman" w:cs="Times New Roman"/>
          <w:color w:val="212121"/>
        </w:rPr>
      </w:pPr>
      <w:r>
        <w:rPr>
          <w:rFonts w:ascii="Times New Roman" w:eastAsia="Times New Roman" w:hAnsi="Times New Roman" w:cs="Times New Roman"/>
          <w:color w:val="212121"/>
        </w:rPr>
        <w:t>[W]</w:t>
      </w:r>
      <w:proofErr w:type="spellStart"/>
      <w:r>
        <w:rPr>
          <w:rFonts w:ascii="Times New Roman" w:eastAsia="Times New Roman" w:hAnsi="Times New Roman" w:cs="Times New Roman"/>
          <w:color w:val="212121"/>
        </w:rPr>
        <w:t>hen</w:t>
      </w:r>
      <w:proofErr w:type="spellEnd"/>
      <w:r>
        <w:rPr>
          <w:rFonts w:ascii="Times New Roman" w:eastAsia="Times New Roman" w:hAnsi="Times New Roman" w:cs="Times New Roman"/>
          <w:color w:val="212121"/>
        </w:rPr>
        <w:t xml:space="preserve"> you share, post, or upload content that is covered by intellectual property rights ..., you </w:t>
      </w:r>
    </w:p>
    <w:p w14:paraId="00000071" w14:textId="77777777" w:rsidR="00FC13B3" w:rsidRDefault="00E0033E">
      <w:pPr>
        <w:ind w:left="720"/>
        <w:rPr>
          <w:rFonts w:ascii="Times New Roman" w:eastAsia="Times New Roman" w:hAnsi="Times New Roman" w:cs="Times New Roman"/>
        </w:rPr>
      </w:pPr>
      <w:r>
        <w:rPr>
          <w:rFonts w:ascii="Times New Roman" w:eastAsia="Times New Roman" w:hAnsi="Times New Roman" w:cs="Times New Roman"/>
          <w:color w:val="212121"/>
        </w:rPr>
        <w:t>hereby grant to [Instagram] a non-exclusive, royalty</w:t>
      </w:r>
      <w:r>
        <w:rPr>
          <w:rFonts w:ascii="Times New Roman" w:eastAsia="Times New Roman" w:hAnsi="Times New Roman" w:cs="Times New Roman"/>
          <w:color w:val="212121"/>
        </w:rPr>
        <w:t xml:space="preserve">-free, transferable, </w:t>
      </w:r>
      <w:r>
        <w:rPr>
          <w:rFonts w:ascii="Times New Roman" w:eastAsia="Times New Roman" w:hAnsi="Times New Roman" w:cs="Times New Roman"/>
          <w:b/>
          <w:color w:val="212121"/>
        </w:rPr>
        <w:t>sub-licensable</w:t>
      </w:r>
      <w:r>
        <w:rPr>
          <w:rFonts w:ascii="Times New Roman" w:eastAsia="Times New Roman" w:hAnsi="Times New Roman" w:cs="Times New Roman"/>
          <w:color w:val="212121"/>
        </w:rPr>
        <w:t>, worldwide license to host, use, distribute, modify, run, copy, publicly perform or display, translate, and create derivative works of your content (consistent with your privacy and application settings).</w:t>
      </w:r>
      <w:r>
        <w:rPr>
          <w:rFonts w:ascii="Times New Roman" w:eastAsia="Times New Roman" w:hAnsi="Times New Roman" w:cs="Times New Roman"/>
          <w:color w:val="212121"/>
          <w:vertAlign w:val="superscript"/>
        </w:rPr>
        <w:footnoteReference w:id="58"/>
      </w:r>
      <w:r>
        <w:rPr>
          <w:rFonts w:ascii="Times New Roman" w:eastAsia="Times New Roman" w:hAnsi="Times New Roman" w:cs="Times New Roman"/>
          <w:color w:val="212121"/>
        </w:rPr>
        <w:t xml:space="preserve"> </w:t>
      </w:r>
    </w:p>
    <w:p w14:paraId="00000072" w14:textId="77777777" w:rsidR="00FC13B3" w:rsidRDefault="00FC13B3">
      <w:pPr>
        <w:ind w:left="720"/>
        <w:rPr>
          <w:rFonts w:ascii="Times New Roman" w:eastAsia="Times New Roman" w:hAnsi="Times New Roman" w:cs="Times New Roman"/>
        </w:rPr>
      </w:pPr>
    </w:p>
    <w:p w14:paraId="00000073" w14:textId="77777777" w:rsidR="00FC13B3" w:rsidRDefault="00E0033E">
      <w:pPr>
        <w:spacing w:line="360" w:lineRule="auto"/>
        <w:rPr>
          <w:rFonts w:ascii="Times New Roman" w:eastAsia="Times New Roman" w:hAnsi="Times New Roman" w:cs="Times New Roman"/>
        </w:rPr>
      </w:pPr>
      <w:r>
        <w:rPr>
          <w:rFonts w:ascii="Times New Roman" w:eastAsia="Times New Roman" w:hAnsi="Times New Roman" w:cs="Times New Roman"/>
        </w:rPr>
        <w:t>Reading Ins</w:t>
      </w:r>
      <w:r>
        <w:rPr>
          <w:rFonts w:ascii="Times New Roman" w:eastAsia="Times New Roman" w:hAnsi="Times New Roman" w:cs="Times New Roman"/>
        </w:rPr>
        <w:t>tagram’s Terms of Use and Privacy Policy together, the court noted that when a user shares content publicly, that content is “searchable by other Users and subject to use under [the] Instagram API.”</w:t>
      </w:r>
      <w:r>
        <w:rPr>
          <w:rFonts w:ascii="Times New Roman" w:eastAsia="Times New Roman" w:hAnsi="Times New Roman" w:cs="Times New Roman"/>
          <w:vertAlign w:val="superscript"/>
        </w:rPr>
        <w:footnoteReference w:id="59"/>
      </w:r>
      <w:r>
        <w:rPr>
          <w:rFonts w:ascii="Times New Roman" w:eastAsia="Times New Roman" w:hAnsi="Times New Roman" w:cs="Times New Roman"/>
        </w:rPr>
        <w:t xml:space="preserve">  Based on these combined readings, Newsweek argues that</w:t>
      </w:r>
      <w:r>
        <w:rPr>
          <w:rFonts w:ascii="Times New Roman" w:eastAsia="Times New Roman" w:hAnsi="Times New Roman" w:cs="Times New Roman"/>
        </w:rPr>
        <w:t xml:space="preserve"> </w:t>
      </w:r>
      <w:proofErr w:type="spellStart"/>
      <w:r>
        <w:rPr>
          <w:rFonts w:ascii="Times New Roman" w:eastAsia="Times New Roman" w:hAnsi="Times New Roman" w:cs="Times New Roman"/>
        </w:rPr>
        <w:t>McGucken</w:t>
      </w:r>
      <w:proofErr w:type="spellEnd"/>
      <w:r>
        <w:rPr>
          <w:rFonts w:ascii="Times New Roman" w:eastAsia="Times New Roman" w:hAnsi="Times New Roman" w:cs="Times New Roman"/>
        </w:rPr>
        <w:t xml:space="preserve"> granted it a sublicense to embed the work through the Instagram API as soon as </w:t>
      </w:r>
      <w:proofErr w:type="spellStart"/>
      <w:r>
        <w:rPr>
          <w:rFonts w:ascii="Times New Roman" w:eastAsia="Times New Roman" w:hAnsi="Times New Roman" w:cs="Times New Roman"/>
        </w:rPr>
        <w:t>McGucken</w:t>
      </w:r>
      <w:proofErr w:type="spellEnd"/>
      <w:r>
        <w:rPr>
          <w:rFonts w:ascii="Times New Roman" w:eastAsia="Times New Roman" w:hAnsi="Times New Roman" w:cs="Times New Roman"/>
        </w:rPr>
        <w:t xml:space="preserve"> posted the photo for public view. </w:t>
      </w:r>
    </w:p>
    <w:p w14:paraId="00000074"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 xml:space="preserve">The court in </w:t>
      </w:r>
      <w:proofErr w:type="spellStart"/>
      <w:r>
        <w:rPr>
          <w:rFonts w:ascii="Times New Roman" w:eastAsia="Times New Roman" w:hAnsi="Times New Roman" w:cs="Times New Roman"/>
          <w:i/>
        </w:rPr>
        <w:t>McGucken</w:t>
      </w:r>
      <w:proofErr w:type="spellEnd"/>
      <w:r>
        <w:rPr>
          <w:rFonts w:ascii="Times New Roman" w:eastAsia="Times New Roman" w:hAnsi="Times New Roman" w:cs="Times New Roman"/>
          <w:i/>
        </w:rPr>
        <w:t xml:space="preserve"> </w:t>
      </w:r>
      <w:r>
        <w:rPr>
          <w:rFonts w:ascii="Times New Roman" w:eastAsia="Times New Roman" w:hAnsi="Times New Roman" w:cs="Times New Roman"/>
        </w:rPr>
        <w:t xml:space="preserve">held that Instagram’s Terms of Use “unequivocally grant Instagram a license to sublicense </w:t>
      </w:r>
      <w:proofErr w:type="spellStart"/>
      <w:r>
        <w:rPr>
          <w:rFonts w:ascii="Times New Roman" w:eastAsia="Times New Roman" w:hAnsi="Times New Roman" w:cs="Times New Roman"/>
        </w:rPr>
        <w:t>McGucken’s</w:t>
      </w:r>
      <w:proofErr w:type="spellEnd"/>
      <w:r>
        <w:rPr>
          <w:rFonts w:ascii="Times New Roman" w:eastAsia="Times New Roman" w:hAnsi="Times New Roman" w:cs="Times New Roman"/>
        </w:rPr>
        <w:t xml:space="preserve"> </w:t>
      </w:r>
      <w:r>
        <w:rPr>
          <w:rFonts w:ascii="Times New Roman" w:eastAsia="Times New Roman" w:hAnsi="Times New Roman" w:cs="Times New Roman"/>
        </w:rPr>
        <w:t xml:space="preserve">publicly posted license.”  However, the court declined to hold that Instagram’s terms and policies expressly or impliedly granted Newsweek a sublicense to embed </w:t>
      </w:r>
      <w:proofErr w:type="spellStart"/>
      <w:r>
        <w:rPr>
          <w:rFonts w:ascii="Times New Roman" w:eastAsia="Times New Roman" w:hAnsi="Times New Roman" w:cs="Times New Roman"/>
        </w:rPr>
        <w:t>McGucken’s</w:t>
      </w:r>
      <w:proofErr w:type="spellEnd"/>
      <w:r>
        <w:rPr>
          <w:rFonts w:ascii="Times New Roman" w:eastAsia="Times New Roman" w:hAnsi="Times New Roman" w:cs="Times New Roman"/>
        </w:rPr>
        <w:t xml:space="preserve"> publicly posted content.  Although the court left the question of a potential sublic</w:t>
      </w:r>
      <w:r>
        <w:rPr>
          <w:rFonts w:ascii="Times New Roman" w:eastAsia="Times New Roman" w:hAnsi="Times New Roman" w:cs="Times New Roman"/>
        </w:rPr>
        <w:t xml:space="preserve">ense open for further review during later stages of the proceeding, the outcome in </w:t>
      </w:r>
      <w:proofErr w:type="spellStart"/>
      <w:r>
        <w:rPr>
          <w:rFonts w:ascii="Times New Roman" w:eastAsia="Times New Roman" w:hAnsi="Times New Roman" w:cs="Times New Roman"/>
          <w:i/>
        </w:rPr>
        <w:t>McGucken</w:t>
      </w:r>
      <w:proofErr w:type="spellEnd"/>
      <w:r>
        <w:rPr>
          <w:rFonts w:ascii="Times New Roman" w:eastAsia="Times New Roman" w:hAnsi="Times New Roman" w:cs="Times New Roman"/>
          <w:i/>
        </w:rPr>
        <w:t xml:space="preserve"> </w:t>
      </w:r>
      <w:r>
        <w:rPr>
          <w:rFonts w:ascii="Times New Roman" w:eastAsia="Times New Roman" w:hAnsi="Times New Roman" w:cs="Times New Roman"/>
        </w:rPr>
        <w:t xml:space="preserve">was another victory for photographers who can enforce infringement against third-party embedders in the Second Circuit.  </w:t>
      </w:r>
    </w:p>
    <w:p w14:paraId="00000075"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 xml:space="preserve">Soon after the </w:t>
      </w:r>
      <w:proofErr w:type="spellStart"/>
      <w:r>
        <w:rPr>
          <w:rFonts w:ascii="Times New Roman" w:eastAsia="Times New Roman" w:hAnsi="Times New Roman" w:cs="Times New Roman"/>
          <w:i/>
        </w:rPr>
        <w:t>McGucken</w:t>
      </w:r>
      <w:proofErr w:type="spellEnd"/>
      <w:r>
        <w:rPr>
          <w:rFonts w:ascii="Times New Roman" w:eastAsia="Times New Roman" w:hAnsi="Times New Roman" w:cs="Times New Roman"/>
          <w:i/>
        </w:rPr>
        <w:t xml:space="preserve"> </w:t>
      </w:r>
      <w:r>
        <w:rPr>
          <w:rFonts w:ascii="Times New Roman" w:eastAsia="Times New Roman" w:hAnsi="Times New Roman" w:cs="Times New Roman"/>
        </w:rPr>
        <w:t>decision was publi</w:t>
      </w:r>
      <w:r>
        <w:rPr>
          <w:rFonts w:ascii="Times New Roman" w:eastAsia="Times New Roman" w:hAnsi="Times New Roman" w:cs="Times New Roman"/>
        </w:rPr>
        <w:t xml:space="preserve">shed, Instagram published a statement that severely undercut Newsweek’s licensing theory: </w:t>
      </w:r>
    </w:p>
    <w:p w14:paraId="00000076" w14:textId="77777777" w:rsidR="00FC13B3" w:rsidRDefault="00FC13B3">
      <w:pPr>
        <w:spacing w:line="360" w:lineRule="auto"/>
        <w:ind w:firstLine="720"/>
        <w:rPr>
          <w:rFonts w:ascii="Times New Roman" w:eastAsia="Times New Roman" w:hAnsi="Times New Roman" w:cs="Times New Roman"/>
        </w:rPr>
      </w:pPr>
    </w:p>
    <w:p w14:paraId="00000077" w14:textId="77777777" w:rsidR="00FC13B3" w:rsidRDefault="00E0033E">
      <w:pPr>
        <w:ind w:firstLine="720"/>
        <w:rPr>
          <w:rFonts w:ascii="Times New Roman" w:eastAsia="Times New Roman" w:hAnsi="Times New Roman" w:cs="Times New Roman"/>
        </w:rPr>
      </w:pPr>
      <w:r>
        <w:rPr>
          <w:rFonts w:ascii="Times New Roman" w:eastAsia="Times New Roman" w:hAnsi="Times New Roman" w:cs="Times New Roman"/>
        </w:rPr>
        <w:t xml:space="preserve">While our terms allow us to grant a sub-license, we do not grant one for our embeds API.  Our </w:t>
      </w:r>
    </w:p>
    <w:p w14:paraId="00000078" w14:textId="77777777" w:rsidR="00FC13B3" w:rsidRDefault="00E0033E">
      <w:pPr>
        <w:ind w:left="720"/>
        <w:rPr>
          <w:rFonts w:ascii="Times New Roman" w:eastAsia="Times New Roman" w:hAnsi="Times New Roman" w:cs="Times New Roman"/>
        </w:rPr>
      </w:pPr>
      <w:r>
        <w:rPr>
          <w:rFonts w:ascii="Times New Roman" w:eastAsia="Times New Roman" w:hAnsi="Times New Roman" w:cs="Times New Roman"/>
        </w:rPr>
        <w:t xml:space="preserve">platform policies require third parties to have the necessary rights </w:t>
      </w:r>
      <w:r>
        <w:rPr>
          <w:rFonts w:ascii="Times New Roman" w:eastAsia="Times New Roman" w:hAnsi="Times New Roman" w:cs="Times New Roman"/>
        </w:rPr>
        <w:t>from applicable rights holders.  This includes ensuring they have a license to share this content, if a license is required by law.</w:t>
      </w:r>
      <w:r>
        <w:rPr>
          <w:rFonts w:ascii="Times New Roman" w:eastAsia="Times New Roman" w:hAnsi="Times New Roman" w:cs="Times New Roman"/>
          <w:vertAlign w:val="superscript"/>
        </w:rPr>
        <w:footnoteReference w:id="60"/>
      </w:r>
    </w:p>
    <w:p w14:paraId="00000079" w14:textId="77777777" w:rsidR="00FC13B3" w:rsidRDefault="00FC13B3">
      <w:pPr>
        <w:spacing w:line="360" w:lineRule="auto"/>
        <w:rPr>
          <w:rFonts w:ascii="Times New Roman" w:eastAsia="Times New Roman" w:hAnsi="Times New Roman" w:cs="Times New Roman"/>
        </w:rPr>
      </w:pPr>
    </w:p>
    <w:p w14:paraId="0000007A" w14:textId="77777777" w:rsidR="00FC13B3" w:rsidRDefault="00E0033E">
      <w:pPr>
        <w:spacing w:line="360" w:lineRule="auto"/>
        <w:rPr>
          <w:rFonts w:ascii="Times New Roman" w:eastAsia="Times New Roman" w:hAnsi="Times New Roman" w:cs="Times New Roman"/>
        </w:rPr>
      </w:pPr>
      <w:r>
        <w:rPr>
          <w:rFonts w:ascii="Times New Roman" w:eastAsia="Times New Roman" w:hAnsi="Times New Roman" w:cs="Times New Roman"/>
        </w:rPr>
        <w:t xml:space="preserve">Instagram’s public statement in combination with the </w:t>
      </w:r>
      <w:proofErr w:type="spellStart"/>
      <w:r>
        <w:rPr>
          <w:rFonts w:ascii="Times New Roman" w:eastAsia="Times New Roman" w:hAnsi="Times New Roman" w:cs="Times New Roman"/>
          <w:i/>
        </w:rPr>
        <w:t>McGucken</w:t>
      </w:r>
      <w:proofErr w:type="spellEnd"/>
      <w:r>
        <w:rPr>
          <w:rFonts w:ascii="Times New Roman" w:eastAsia="Times New Roman" w:hAnsi="Times New Roman" w:cs="Times New Roman"/>
          <w:i/>
        </w:rPr>
        <w:t xml:space="preserve"> </w:t>
      </w:r>
      <w:r>
        <w:rPr>
          <w:rFonts w:ascii="Times New Roman" w:eastAsia="Times New Roman" w:hAnsi="Times New Roman" w:cs="Times New Roman"/>
        </w:rPr>
        <w:t xml:space="preserve">decision placed a heavy dose of peer pressure on the court </w:t>
      </w:r>
      <w:r>
        <w:rPr>
          <w:rFonts w:ascii="Times New Roman" w:eastAsia="Times New Roman" w:hAnsi="Times New Roman" w:cs="Times New Roman"/>
        </w:rPr>
        <w:t xml:space="preserve">in </w:t>
      </w:r>
      <w:r>
        <w:rPr>
          <w:rFonts w:ascii="Times New Roman" w:eastAsia="Times New Roman" w:hAnsi="Times New Roman" w:cs="Times New Roman"/>
          <w:i/>
        </w:rPr>
        <w:t>Sinclair</w:t>
      </w:r>
      <w:r>
        <w:rPr>
          <w:rFonts w:ascii="Times New Roman" w:eastAsia="Times New Roman" w:hAnsi="Times New Roman" w:cs="Times New Roman"/>
        </w:rPr>
        <w:t>, which soon thereafter granted a motion for reconsideration to re-review whether Mashable had a valid sublicense to embed a photo without the photographer’s permission.  Now that Instagram has formally stated that no sublicense is granted throu</w:t>
      </w:r>
      <w:r>
        <w:rPr>
          <w:rFonts w:ascii="Times New Roman" w:eastAsia="Times New Roman" w:hAnsi="Times New Roman" w:cs="Times New Roman"/>
        </w:rPr>
        <w:t xml:space="preserve">gh its embeds API, is the claim in </w:t>
      </w:r>
      <w:r>
        <w:rPr>
          <w:rFonts w:ascii="Times New Roman" w:eastAsia="Times New Roman" w:hAnsi="Times New Roman" w:cs="Times New Roman"/>
          <w:i/>
        </w:rPr>
        <w:t>Sinclair</w:t>
      </w:r>
      <w:r>
        <w:rPr>
          <w:rFonts w:ascii="Times New Roman" w:eastAsia="Times New Roman" w:hAnsi="Times New Roman" w:cs="Times New Roman"/>
        </w:rPr>
        <w:t xml:space="preserve"> now moot or could embeds made prior to Instagram’s statement fall under an implied sublicense?         </w:t>
      </w:r>
    </w:p>
    <w:p w14:paraId="0000007B" w14:textId="77777777" w:rsidR="00FC13B3" w:rsidRDefault="00E0033E">
      <w:pPr>
        <w:spacing w:line="360" w:lineRule="auto"/>
        <w:rPr>
          <w:rFonts w:ascii="Times New Roman" w:eastAsia="Times New Roman" w:hAnsi="Times New Roman" w:cs="Times New Roman"/>
          <w:b/>
          <w:i/>
        </w:rPr>
      </w:pPr>
      <w:r>
        <w:rPr>
          <w:rFonts w:ascii="Times New Roman" w:eastAsia="Times New Roman" w:hAnsi="Times New Roman" w:cs="Times New Roman"/>
        </w:rPr>
        <w:t xml:space="preserve">   </w:t>
      </w:r>
    </w:p>
    <w:p w14:paraId="0000007C" w14:textId="77777777" w:rsidR="00FC13B3" w:rsidRDefault="00E0033E">
      <w:pPr>
        <w:numPr>
          <w:ilvl w:val="0"/>
          <w:numId w:val="2"/>
        </w:numPr>
        <w:rPr>
          <w:rFonts w:ascii="Times New Roman" w:eastAsia="Times New Roman" w:hAnsi="Times New Roman" w:cs="Times New Roman"/>
          <w:b/>
        </w:rPr>
      </w:pPr>
      <w:r>
        <w:rPr>
          <w:rFonts w:ascii="Times New Roman" w:eastAsia="Times New Roman" w:hAnsi="Times New Roman" w:cs="Times New Roman"/>
          <w:b/>
        </w:rPr>
        <w:t xml:space="preserve">Did Mashable Have a Valid Sublicense in </w:t>
      </w:r>
      <w:r>
        <w:rPr>
          <w:rFonts w:ascii="Times New Roman" w:eastAsia="Times New Roman" w:hAnsi="Times New Roman" w:cs="Times New Roman"/>
          <w:b/>
          <w:i/>
        </w:rPr>
        <w:t>Sinclair v. Ziff Davis, LLC</w:t>
      </w:r>
      <w:r>
        <w:rPr>
          <w:rFonts w:ascii="Times New Roman" w:eastAsia="Times New Roman" w:hAnsi="Times New Roman" w:cs="Times New Roman"/>
          <w:b/>
        </w:rPr>
        <w:t xml:space="preserve">?  </w:t>
      </w:r>
    </w:p>
    <w:p w14:paraId="0000007D" w14:textId="77777777" w:rsidR="00FC13B3" w:rsidRDefault="00FC13B3">
      <w:pPr>
        <w:rPr>
          <w:rFonts w:ascii="Times New Roman" w:eastAsia="Times New Roman" w:hAnsi="Times New Roman" w:cs="Times New Roman"/>
        </w:rPr>
      </w:pPr>
    </w:p>
    <w:p w14:paraId="0000007E" w14:textId="77777777" w:rsidR="00FC13B3" w:rsidRDefault="00E0033E">
      <w:pPr>
        <w:spacing w:line="360" w:lineRule="auto"/>
        <w:rPr>
          <w:rFonts w:ascii="Times New Roman" w:eastAsia="Times New Roman" w:hAnsi="Times New Roman" w:cs="Times New Roman"/>
        </w:rPr>
      </w:pPr>
      <w:r>
        <w:rPr>
          <w:rFonts w:ascii="Times New Roman" w:eastAsia="Times New Roman" w:hAnsi="Times New Roman" w:cs="Times New Roman"/>
        </w:rPr>
        <w:tab/>
      </w:r>
      <w:r>
        <w:rPr>
          <w:rFonts w:ascii="Times New Roman" w:eastAsia="Times New Roman" w:hAnsi="Times New Roman" w:cs="Times New Roman"/>
        </w:rPr>
        <w:t xml:space="preserve">The fact pattern in </w:t>
      </w:r>
      <w:r>
        <w:rPr>
          <w:rFonts w:ascii="Times New Roman" w:eastAsia="Times New Roman" w:hAnsi="Times New Roman" w:cs="Times New Roman"/>
          <w:i/>
        </w:rPr>
        <w:t>Sinclair v. Ziff Davis, LLC</w:t>
      </w:r>
      <w:r>
        <w:rPr>
          <w:rFonts w:ascii="Times New Roman" w:eastAsia="Times New Roman" w:hAnsi="Times New Roman" w:cs="Times New Roman"/>
        </w:rPr>
        <w:t xml:space="preserve"> is analogous to </w:t>
      </w:r>
      <w:proofErr w:type="spellStart"/>
      <w:r>
        <w:rPr>
          <w:rFonts w:ascii="Times New Roman" w:eastAsia="Times New Roman" w:hAnsi="Times New Roman" w:cs="Times New Roman"/>
          <w:i/>
        </w:rPr>
        <w:t>McGucken</w:t>
      </w:r>
      <w:proofErr w:type="spellEnd"/>
      <w:r>
        <w:rPr>
          <w:rFonts w:ascii="Times New Roman" w:eastAsia="Times New Roman" w:hAnsi="Times New Roman" w:cs="Times New Roman"/>
        </w:rPr>
        <w:t xml:space="preserve">.  In </w:t>
      </w:r>
      <w:r>
        <w:rPr>
          <w:rFonts w:ascii="Times New Roman" w:eastAsia="Times New Roman" w:hAnsi="Times New Roman" w:cs="Times New Roman"/>
          <w:i/>
        </w:rPr>
        <w:t>Sinclair</w:t>
      </w:r>
      <w:r>
        <w:rPr>
          <w:rFonts w:ascii="Times New Roman" w:eastAsia="Times New Roman" w:hAnsi="Times New Roman" w:cs="Times New Roman"/>
        </w:rPr>
        <w:t xml:space="preserve">, photographer Stephanie Sinclair posted an image entitled “Child, Bride, Mother/Child Marriage in Guatemala” on her public Instagram account, which Mashable embedded on </w:t>
      </w:r>
      <w:r>
        <w:rPr>
          <w:rFonts w:ascii="Times New Roman" w:eastAsia="Times New Roman" w:hAnsi="Times New Roman" w:cs="Times New Roman"/>
        </w:rPr>
        <w:t xml:space="preserve">its website.  When Sinclair sued, Mashable claimed the same line of defense as Newsweek did in </w:t>
      </w:r>
      <w:proofErr w:type="spellStart"/>
      <w:r>
        <w:rPr>
          <w:rFonts w:ascii="Times New Roman" w:eastAsia="Times New Roman" w:hAnsi="Times New Roman" w:cs="Times New Roman"/>
          <w:i/>
        </w:rPr>
        <w:t>McGucken</w:t>
      </w:r>
      <w:proofErr w:type="spellEnd"/>
      <w:r>
        <w:rPr>
          <w:rFonts w:ascii="Times New Roman" w:eastAsia="Times New Roman" w:hAnsi="Times New Roman" w:cs="Times New Roman"/>
        </w:rPr>
        <w:t xml:space="preserve">: a valid sublicense to embed user content that was granted by Instagram insulated Mashable from any infringement.  </w:t>
      </w:r>
    </w:p>
    <w:p w14:paraId="0000007F"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When Instagram publicly stated in Ju</w:t>
      </w:r>
      <w:r>
        <w:rPr>
          <w:rFonts w:ascii="Times New Roman" w:eastAsia="Times New Roman" w:hAnsi="Times New Roman" w:cs="Times New Roman"/>
        </w:rPr>
        <w:t xml:space="preserve">ne 2020 that it does not grant a sub-license through its embeds API, it would be difficult for any court to find that an express sublicense existed between the parties.  The earlier </w:t>
      </w:r>
      <w:r>
        <w:rPr>
          <w:rFonts w:ascii="Times New Roman" w:eastAsia="Times New Roman" w:hAnsi="Times New Roman" w:cs="Times New Roman"/>
          <w:i/>
        </w:rPr>
        <w:t xml:space="preserve">Sinclair </w:t>
      </w:r>
      <w:r>
        <w:rPr>
          <w:rFonts w:ascii="Times New Roman" w:eastAsia="Times New Roman" w:hAnsi="Times New Roman" w:cs="Times New Roman"/>
        </w:rPr>
        <w:t>decision mistakenly held that an express license to sub-license a</w:t>
      </w:r>
      <w:r>
        <w:rPr>
          <w:rFonts w:ascii="Times New Roman" w:eastAsia="Times New Roman" w:hAnsi="Times New Roman" w:cs="Times New Roman"/>
        </w:rPr>
        <w:t xml:space="preserve">n unambiguous </w:t>
      </w:r>
      <w:r>
        <w:rPr>
          <w:rFonts w:ascii="Times New Roman" w:eastAsia="Times New Roman" w:hAnsi="Times New Roman" w:cs="Times New Roman"/>
          <w:i/>
        </w:rPr>
        <w:t>embedding right with a third-party</w:t>
      </w:r>
      <w:r>
        <w:rPr>
          <w:rFonts w:ascii="Times New Roman" w:eastAsia="Times New Roman" w:hAnsi="Times New Roman" w:cs="Times New Roman"/>
        </w:rPr>
        <w:t xml:space="preserve"> existed between Instagram and Sinclair through Instagram’s Terms of Use, and by entering into this express license with Instagram, Sinclair automatically agreed to allow Mashable to embed her photo.  However</w:t>
      </w:r>
      <w:r>
        <w:rPr>
          <w:rFonts w:ascii="Times New Roman" w:eastAsia="Times New Roman" w:hAnsi="Times New Roman" w:cs="Times New Roman"/>
        </w:rPr>
        <w:t>, the scope of the express license between Sinclair and Instagram cannot be read to include an embedding right.  The court came to this faulty conclusion by “incorporating by reference” Instagram’s Privacy Policy and Platform Policy, which more fully detai</w:t>
      </w:r>
      <w:r>
        <w:rPr>
          <w:rFonts w:ascii="Times New Roman" w:eastAsia="Times New Roman" w:hAnsi="Times New Roman" w:cs="Times New Roman"/>
        </w:rPr>
        <w:t>led the scope of the sub-license.  However, under New York law, “the doctrine of incorporation by reference requires that the paper to be incorporated into the written instrument by reference must be so described in the instrument that the paper may be ide</w:t>
      </w:r>
      <w:r>
        <w:rPr>
          <w:rFonts w:ascii="Times New Roman" w:eastAsia="Times New Roman" w:hAnsi="Times New Roman" w:cs="Times New Roman"/>
        </w:rPr>
        <w:t>ntified ‘beyond all reasonable doubt.’”</w:t>
      </w:r>
      <w:r>
        <w:rPr>
          <w:rFonts w:ascii="Times New Roman" w:eastAsia="Times New Roman" w:hAnsi="Times New Roman" w:cs="Times New Roman"/>
          <w:vertAlign w:val="superscript"/>
        </w:rPr>
        <w:footnoteReference w:id="61"/>
      </w:r>
      <w:r>
        <w:rPr>
          <w:rFonts w:ascii="Times New Roman" w:eastAsia="Times New Roman" w:hAnsi="Times New Roman" w:cs="Times New Roman"/>
        </w:rPr>
        <w:t xml:space="preserve">  An unambiguous reference to Instagram’s Privacy Policy and Platform Policy was not clearly expressed in Instagram’s Terms of Use, and the mere reference to “privacy and application settings” does not suffice.  Inc</w:t>
      </w:r>
      <w:r>
        <w:rPr>
          <w:rFonts w:ascii="Times New Roman" w:eastAsia="Times New Roman" w:hAnsi="Times New Roman" w:cs="Times New Roman"/>
        </w:rPr>
        <w:t>orporation by reference must meet an “exacting standard”</w:t>
      </w:r>
      <w:r>
        <w:rPr>
          <w:rFonts w:ascii="Times New Roman" w:eastAsia="Times New Roman" w:hAnsi="Times New Roman" w:cs="Times New Roman"/>
          <w:vertAlign w:val="superscript"/>
        </w:rPr>
        <w:footnoteReference w:id="62"/>
      </w:r>
      <w:r>
        <w:rPr>
          <w:rFonts w:ascii="Times New Roman" w:eastAsia="Times New Roman" w:hAnsi="Times New Roman" w:cs="Times New Roman"/>
        </w:rPr>
        <w:t xml:space="preserve"> and should reference specific documents without vague allusions.</w:t>
      </w:r>
      <w:r>
        <w:rPr>
          <w:rFonts w:ascii="Times New Roman" w:eastAsia="Times New Roman" w:hAnsi="Times New Roman" w:cs="Times New Roman"/>
          <w:vertAlign w:val="superscript"/>
        </w:rPr>
        <w:footnoteReference w:id="63"/>
      </w:r>
      <w:r>
        <w:rPr>
          <w:rFonts w:ascii="Times New Roman" w:eastAsia="Times New Roman" w:hAnsi="Times New Roman" w:cs="Times New Roman"/>
        </w:rPr>
        <w:t xml:space="preserve">  Given the ambiguity regarding the scope of Instagram’s sub-license right, the level of control Instagram gives to its users for s</w:t>
      </w:r>
      <w:r>
        <w:rPr>
          <w:rFonts w:ascii="Times New Roman" w:eastAsia="Times New Roman" w:hAnsi="Times New Roman" w:cs="Times New Roman"/>
        </w:rPr>
        <w:t xml:space="preserve">haring content, and in light of Instagram’s public </w:t>
      </w:r>
      <w:r>
        <w:rPr>
          <w:rFonts w:ascii="Times New Roman" w:eastAsia="Times New Roman" w:hAnsi="Times New Roman" w:cs="Times New Roman"/>
        </w:rPr>
        <w:lastRenderedPageBreak/>
        <w:t xml:space="preserve">statement, a jury would likely find that Instagram did not intend to give Mashable a sub-license to embed Sinclair’s photo and that Mashable’s use of the photo exceeded the scope of the sublicense.  </w:t>
      </w:r>
    </w:p>
    <w:p w14:paraId="00000080"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Did I</w:t>
      </w:r>
      <w:r>
        <w:rPr>
          <w:rFonts w:ascii="Times New Roman" w:eastAsia="Times New Roman" w:hAnsi="Times New Roman" w:cs="Times New Roman"/>
        </w:rPr>
        <w:t>nstagram grant Mashable an implied sublicense to embed Sinclair’s photo?  To date, case law that discusses implied copyright sublicenses is a rarity.  Furthermore, the Second Circuit has never ruled on the precise circumstances under which an implied licen</w:t>
      </w:r>
      <w:r>
        <w:rPr>
          <w:rFonts w:ascii="Times New Roman" w:eastAsia="Times New Roman" w:hAnsi="Times New Roman" w:cs="Times New Roman"/>
        </w:rPr>
        <w:t>se may be found.</w:t>
      </w:r>
      <w:r>
        <w:rPr>
          <w:rFonts w:ascii="Times New Roman" w:eastAsia="Times New Roman" w:hAnsi="Times New Roman" w:cs="Times New Roman"/>
          <w:vertAlign w:val="superscript"/>
        </w:rPr>
        <w:footnoteReference w:id="64"/>
      </w:r>
      <w:r>
        <w:rPr>
          <w:rFonts w:ascii="Times New Roman" w:eastAsia="Times New Roman" w:hAnsi="Times New Roman" w:cs="Times New Roman"/>
        </w:rPr>
        <w:t xml:space="preserve">  Because the Copyright Act does not address implied licenses, “state law determines whether a copyright holder has granted [an implied] license.”</w:t>
      </w:r>
      <w:r>
        <w:rPr>
          <w:rFonts w:ascii="Times New Roman" w:eastAsia="Times New Roman" w:hAnsi="Times New Roman" w:cs="Times New Roman"/>
          <w:vertAlign w:val="superscript"/>
        </w:rPr>
        <w:footnoteReference w:id="65"/>
      </w:r>
      <w:r>
        <w:rPr>
          <w:rFonts w:ascii="Times New Roman" w:eastAsia="Times New Roman" w:hAnsi="Times New Roman" w:cs="Times New Roman"/>
        </w:rPr>
        <w:t xml:space="preserve">  Under New York law, the Second Circuit in </w:t>
      </w:r>
      <w:proofErr w:type="spellStart"/>
      <w:r>
        <w:rPr>
          <w:rFonts w:ascii="Times New Roman" w:eastAsia="Times New Roman" w:hAnsi="Times New Roman" w:cs="Times New Roman"/>
          <w:i/>
        </w:rPr>
        <w:t>Pelaez</w:t>
      </w:r>
      <w:proofErr w:type="spellEnd"/>
      <w:r>
        <w:rPr>
          <w:rFonts w:ascii="Times New Roman" w:eastAsia="Times New Roman" w:hAnsi="Times New Roman" w:cs="Times New Roman"/>
        </w:rPr>
        <w:t xml:space="preserve"> adopted the “totality of the parties’ c</w:t>
      </w:r>
      <w:r>
        <w:rPr>
          <w:rFonts w:ascii="Times New Roman" w:eastAsia="Times New Roman" w:hAnsi="Times New Roman" w:cs="Times New Roman"/>
        </w:rPr>
        <w:t>onduct” test to determine whether there was any intent to grant permission to use the copyrighted work.</w:t>
      </w:r>
      <w:r>
        <w:rPr>
          <w:rFonts w:ascii="Times New Roman" w:eastAsia="Times New Roman" w:hAnsi="Times New Roman" w:cs="Times New Roman"/>
          <w:vertAlign w:val="superscript"/>
        </w:rPr>
        <w:footnoteReference w:id="66"/>
      </w:r>
      <w:r>
        <w:rPr>
          <w:rFonts w:ascii="Times New Roman" w:eastAsia="Times New Roman" w:hAnsi="Times New Roman" w:cs="Times New Roman"/>
        </w:rPr>
        <w:t xml:space="preserve">  However, in </w:t>
      </w:r>
      <w:proofErr w:type="spellStart"/>
      <w:r>
        <w:rPr>
          <w:rFonts w:ascii="Times New Roman" w:eastAsia="Times New Roman" w:hAnsi="Times New Roman" w:cs="Times New Roman"/>
          <w:i/>
        </w:rPr>
        <w:t>Psihoyos</w:t>
      </w:r>
      <w:proofErr w:type="spellEnd"/>
      <w:r>
        <w:rPr>
          <w:rFonts w:ascii="Times New Roman" w:eastAsia="Times New Roman" w:hAnsi="Times New Roman" w:cs="Times New Roman"/>
        </w:rPr>
        <w:t>, the Southern District of New York noted that finding an implied license depends on the “‘meeting of the minds’ between the part</w:t>
      </w:r>
      <w:r>
        <w:rPr>
          <w:rFonts w:ascii="Times New Roman" w:eastAsia="Times New Roman" w:hAnsi="Times New Roman" w:cs="Times New Roman"/>
        </w:rPr>
        <w:t>ies to permit the particular usage at issue.”</w:t>
      </w:r>
      <w:r>
        <w:rPr>
          <w:rFonts w:ascii="Times New Roman" w:eastAsia="Times New Roman" w:hAnsi="Times New Roman" w:cs="Times New Roman"/>
          <w:vertAlign w:val="superscript"/>
        </w:rPr>
        <w:footnoteReference w:id="67"/>
      </w:r>
      <w:r>
        <w:rPr>
          <w:rFonts w:ascii="Times New Roman" w:eastAsia="Times New Roman" w:hAnsi="Times New Roman" w:cs="Times New Roman"/>
        </w:rPr>
        <w:t xml:space="preserve">  Under the latter inquiry, an implied sublicense between Mashable and Instagram does not exist.  Mashable acted unilaterally in embedding Sinclair’s photo and likely without Instagram’s knowledge.  This condu</w:t>
      </w:r>
      <w:r>
        <w:rPr>
          <w:rFonts w:ascii="Times New Roman" w:eastAsia="Times New Roman" w:hAnsi="Times New Roman" w:cs="Times New Roman"/>
        </w:rPr>
        <w:t>ct does not create an implied sublicense as “an implied [sub]license to use a copyrighted work ‘cannot arise out of the unilateral expectations of one party.’”</w:t>
      </w:r>
      <w:r>
        <w:rPr>
          <w:rFonts w:ascii="Times New Roman" w:eastAsia="Times New Roman" w:hAnsi="Times New Roman" w:cs="Times New Roman"/>
          <w:vertAlign w:val="superscript"/>
        </w:rPr>
        <w:footnoteReference w:id="68"/>
      </w:r>
      <w:r>
        <w:rPr>
          <w:rFonts w:ascii="Times New Roman" w:eastAsia="Times New Roman" w:hAnsi="Times New Roman" w:cs="Times New Roman"/>
        </w:rPr>
        <w:t xml:space="preserve">  Furthermore, following Instagram’s public statement, Mashable would not be able to argue that</w:t>
      </w:r>
      <w:r>
        <w:rPr>
          <w:rFonts w:ascii="Times New Roman" w:eastAsia="Times New Roman" w:hAnsi="Times New Roman" w:cs="Times New Roman"/>
        </w:rPr>
        <w:t xml:space="preserve"> there was a “meeting of the minds” over the scope of Mashable’s use of the embeds API.  </w:t>
      </w:r>
    </w:p>
    <w:p w14:paraId="00000081"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 xml:space="preserve">The totality of the parties’ </w:t>
      </w:r>
      <w:proofErr w:type="gramStart"/>
      <w:r>
        <w:rPr>
          <w:rFonts w:ascii="Times New Roman" w:eastAsia="Times New Roman" w:hAnsi="Times New Roman" w:cs="Times New Roman"/>
        </w:rPr>
        <w:t>conduct</w:t>
      </w:r>
      <w:proofErr w:type="gramEnd"/>
      <w:r>
        <w:rPr>
          <w:rFonts w:ascii="Times New Roman" w:eastAsia="Times New Roman" w:hAnsi="Times New Roman" w:cs="Times New Roman"/>
        </w:rPr>
        <w:t xml:space="preserve"> also do not show that an implied sublicense existed between Mashable and Instagram.  In examining the “totality of conduct,” the </w:t>
      </w:r>
      <w:r>
        <w:rPr>
          <w:rFonts w:ascii="Times New Roman" w:eastAsia="Times New Roman" w:hAnsi="Times New Roman" w:cs="Times New Roman"/>
        </w:rPr>
        <w:t xml:space="preserve">Second Circuit has considered evidence such as written agreements, the course of conduct between the parties, and declarations by the parties.  As noted above, Instagram’s public statement boldly declared that third parties still need to obtain permission </w:t>
      </w:r>
      <w:r>
        <w:rPr>
          <w:rFonts w:ascii="Times New Roman" w:eastAsia="Times New Roman" w:hAnsi="Times New Roman" w:cs="Times New Roman"/>
        </w:rPr>
        <w:t>to embed user content, which extinguishes any inkling that an implied sublicense existed.  Furthermore, although written agreements would be probative of the parties’ intent, nothing on Instagram’s website describes the contractual relationship and expecta</w:t>
      </w:r>
      <w:r>
        <w:rPr>
          <w:rFonts w:ascii="Times New Roman" w:eastAsia="Times New Roman" w:hAnsi="Times New Roman" w:cs="Times New Roman"/>
        </w:rPr>
        <w:t>tions between Instagram and Mashable.</w:t>
      </w:r>
      <w:r>
        <w:rPr>
          <w:rFonts w:ascii="Times New Roman" w:eastAsia="Times New Roman" w:hAnsi="Times New Roman" w:cs="Times New Roman"/>
          <w:vertAlign w:val="superscript"/>
        </w:rPr>
        <w:footnoteReference w:id="69"/>
      </w:r>
      <w:r>
        <w:rPr>
          <w:rFonts w:ascii="Times New Roman" w:eastAsia="Times New Roman" w:hAnsi="Times New Roman" w:cs="Times New Roman"/>
        </w:rPr>
        <w:t xml:space="preserve">  The absence of evidence clarifying the sublicense relationship stands in contrast to evidence of the express license between Instagram and Sinclair, which is documented in the Terms of Use.  </w:t>
      </w:r>
    </w:p>
    <w:p w14:paraId="00000082"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The course of conduct b</w:t>
      </w:r>
      <w:r>
        <w:rPr>
          <w:rFonts w:ascii="Times New Roman" w:eastAsia="Times New Roman" w:hAnsi="Times New Roman" w:cs="Times New Roman"/>
        </w:rPr>
        <w:t>etween Mashable and Instagram to infer the existence of an implied sublicense is less clear.  As a social media platform, Instagram intends for photos to be embedded and publicly displayed to the widest extent possible to promote its overarching goal to re</w:t>
      </w:r>
      <w:r>
        <w:rPr>
          <w:rFonts w:ascii="Times New Roman" w:eastAsia="Times New Roman" w:hAnsi="Times New Roman" w:cs="Times New Roman"/>
        </w:rPr>
        <w:t xml:space="preserve">main a key player in </w:t>
      </w:r>
      <w:r>
        <w:rPr>
          <w:rFonts w:ascii="Times New Roman" w:eastAsia="Times New Roman" w:hAnsi="Times New Roman" w:cs="Times New Roman"/>
        </w:rPr>
        <w:lastRenderedPageBreak/>
        <w:t>the social media “sharing economy.”  Instagram developers make this process easier by creating embed widgets and an embed API.  Furthermore, it would be easy to conjecture that Mashable might have previously engaged in similar “frequen</w:t>
      </w:r>
      <w:r>
        <w:rPr>
          <w:rFonts w:ascii="Times New Roman" w:eastAsia="Times New Roman" w:hAnsi="Times New Roman" w:cs="Times New Roman"/>
        </w:rPr>
        <w:t>t and informal” conduct, and a survey of the case law shows that Mashable has triggered very few infringement lawsuits.</w:t>
      </w:r>
      <w:r>
        <w:rPr>
          <w:rFonts w:ascii="Times New Roman" w:eastAsia="Times New Roman" w:hAnsi="Times New Roman" w:cs="Times New Roman"/>
          <w:vertAlign w:val="superscript"/>
        </w:rPr>
        <w:footnoteReference w:id="70"/>
      </w:r>
      <w:r>
        <w:rPr>
          <w:rFonts w:ascii="Times New Roman" w:eastAsia="Times New Roman" w:hAnsi="Times New Roman" w:cs="Times New Roman"/>
        </w:rPr>
        <w:t xml:space="preserve">  Instagram also notes in its Platform Policy that the Instagram Platform “is provided to help broadcasters and publishers discover con</w:t>
      </w:r>
      <w:r>
        <w:rPr>
          <w:rFonts w:ascii="Times New Roman" w:eastAsia="Times New Roman" w:hAnsi="Times New Roman" w:cs="Times New Roman"/>
        </w:rPr>
        <w:t xml:space="preserve">tent … and </w:t>
      </w:r>
      <w:r>
        <w:rPr>
          <w:rFonts w:ascii="Times New Roman" w:eastAsia="Times New Roman" w:hAnsi="Times New Roman" w:cs="Times New Roman"/>
          <w:i/>
        </w:rPr>
        <w:t>share media using web embeds</w:t>
      </w:r>
      <w:r>
        <w:rPr>
          <w:rFonts w:ascii="Times New Roman" w:eastAsia="Times New Roman" w:hAnsi="Times New Roman" w:cs="Times New Roman"/>
        </w:rPr>
        <w:t>.”</w:t>
      </w:r>
      <w:r>
        <w:rPr>
          <w:rFonts w:ascii="Times New Roman" w:eastAsia="Times New Roman" w:hAnsi="Times New Roman" w:cs="Times New Roman"/>
          <w:vertAlign w:val="superscript"/>
        </w:rPr>
        <w:footnoteReference w:id="71"/>
      </w:r>
      <w:r>
        <w:rPr>
          <w:rFonts w:ascii="Times New Roman" w:eastAsia="Times New Roman" w:hAnsi="Times New Roman" w:cs="Times New Roman"/>
        </w:rPr>
        <w:t xml:space="preserve">  On the other hand, the Platform Policy is also provided to help broadcasters and publishers “</w:t>
      </w:r>
      <w:r>
        <w:rPr>
          <w:rFonts w:ascii="Times New Roman" w:eastAsia="Times New Roman" w:hAnsi="Times New Roman" w:cs="Times New Roman"/>
          <w:i/>
        </w:rPr>
        <w:t>get digital rights to media</w:t>
      </w:r>
      <w:r>
        <w:rPr>
          <w:rFonts w:ascii="Times New Roman" w:eastAsia="Times New Roman" w:hAnsi="Times New Roman" w:cs="Times New Roman"/>
        </w:rPr>
        <w:t>,” which highlights Instagram’s intent to encourage a culture of licensing user content.  A</w:t>
      </w:r>
      <w:r>
        <w:rPr>
          <w:rFonts w:ascii="Times New Roman" w:eastAsia="Times New Roman" w:hAnsi="Times New Roman" w:cs="Times New Roman"/>
        </w:rPr>
        <w:t>s a global media and entertainment company, Mashable knew how to navigate licensing requirements and offered $50 to Sinclair for the licensing rights, which Sinclair rejected.  Instagram also references prohibitions against conduct that violates intellectu</w:t>
      </w:r>
      <w:r>
        <w:rPr>
          <w:rFonts w:ascii="Times New Roman" w:eastAsia="Times New Roman" w:hAnsi="Times New Roman" w:cs="Times New Roman"/>
        </w:rPr>
        <w:t>al property law in its Terms of Use, which suggest that had Instagram known about Mashable’s conduct, it would have objected to the use, foreclosing the assumption that an implied license existed.</w:t>
      </w:r>
      <w:r>
        <w:rPr>
          <w:rFonts w:ascii="Times New Roman" w:eastAsia="Times New Roman" w:hAnsi="Times New Roman" w:cs="Times New Roman"/>
          <w:vertAlign w:val="superscript"/>
        </w:rPr>
        <w:footnoteReference w:id="72"/>
      </w:r>
      <w:r>
        <w:rPr>
          <w:rFonts w:ascii="Times New Roman" w:eastAsia="Times New Roman" w:hAnsi="Times New Roman" w:cs="Times New Roman"/>
        </w:rPr>
        <w:t xml:space="preserve">  Indeed, following the decisions in </w:t>
      </w:r>
      <w:proofErr w:type="spellStart"/>
      <w:r>
        <w:rPr>
          <w:rFonts w:ascii="Times New Roman" w:eastAsia="Times New Roman" w:hAnsi="Times New Roman" w:cs="Times New Roman"/>
        </w:rPr>
        <w:t>McGucken</w:t>
      </w:r>
      <w:proofErr w:type="spellEnd"/>
      <w:r>
        <w:rPr>
          <w:rFonts w:ascii="Times New Roman" w:eastAsia="Times New Roman" w:hAnsi="Times New Roman" w:cs="Times New Roman"/>
        </w:rPr>
        <w:t xml:space="preserve"> and Sinclair, Instagram objected to authorized embedding activity by third-parties.  For these reasons, the “totality of the conduct” between Instagram and Mashable does not give rise to an implied sublicense. </w:t>
      </w:r>
      <w:r>
        <w:rPr>
          <w:rFonts w:ascii="Times New Roman" w:eastAsia="Times New Roman" w:hAnsi="Times New Roman" w:cs="Times New Roman"/>
        </w:rPr>
        <w:t xml:space="preserve">           </w:t>
      </w:r>
      <w:r>
        <w:rPr>
          <w:color w:val="262626"/>
          <w:sz w:val="20"/>
          <w:szCs w:val="20"/>
          <w:highlight w:val="white"/>
        </w:rPr>
        <w:t xml:space="preserve"> </w:t>
      </w:r>
      <w:r>
        <w:rPr>
          <w:rFonts w:ascii="Times New Roman" w:eastAsia="Times New Roman" w:hAnsi="Times New Roman" w:cs="Times New Roman"/>
        </w:rPr>
        <w:t xml:space="preserve">      </w:t>
      </w:r>
    </w:p>
    <w:p w14:paraId="00000083" w14:textId="77777777" w:rsidR="00FC13B3" w:rsidRDefault="00FC13B3">
      <w:pPr>
        <w:rPr>
          <w:rFonts w:ascii="Times New Roman" w:eastAsia="Times New Roman" w:hAnsi="Times New Roman" w:cs="Times New Roman"/>
        </w:rPr>
      </w:pPr>
    </w:p>
    <w:p w14:paraId="00000084" w14:textId="77777777" w:rsidR="00FC13B3" w:rsidRDefault="00E0033E">
      <w:pPr>
        <w:rPr>
          <w:rFonts w:ascii="Times New Roman" w:eastAsia="Times New Roman" w:hAnsi="Times New Roman" w:cs="Times New Roman"/>
          <w:b/>
        </w:rPr>
      </w:pPr>
      <w:r>
        <w:rPr>
          <w:rFonts w:ascii="Times New Roman" w:eastAsia="Times New Roman" w:hAnsi="Times New Roman" w:cs="Times New Roman"/>
          <w:b/>
        </w:rPr>
        <w:t xml:space="preserve">   C.</w:t>
      </w:r>
      <w:r>
        <w:rPr>
          <w:rFonts w:ascii="Times New Roman" w:eastAsia="Times New Roman" w:hAnsi="Times New Roman" w:cs="Times New Roman"/>
          <w:b/>
        </w:rPr>
        <w:tab/>
        <w:t xml:space="preserve">Instagram’s Contract of Adhesion </w:t>
      </w:r>
    </w:p>
    <w:p w14:paraId="00000085" w14:textId="77777777" w:rsidR="00FC13B3" w:rsidRDefault="00FC13B3">
      <w:pPr>
        <w:rPr>
          <w:rFonts w:ascii="Times New Roman" w:eastAsia="Times New Roman" w:hAnsi="Times New Roman" w:cs="Times New Roman"/>
        </w:rPr>
      </w:pPr>
    </w:p>
    <w:p w14:paraId="00000086"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 xml:space="preserve">On grounds of contract law, a valid sublicense does not exist between Instagram and Mashable.  Although the language in the Terms of Use grant Instagram the </w:t>
      </w:r>
      <w:r>
        <w:rPr>
          <w:rFonts w:ascii="Times New Roman" w:eastAsia="Times New Roman" w:hAnsi="Times New Roman" w:cs="Times New Roman"/>
          <w:i/>
        </w:rPr>
        <w:t>right</w:t>
      </w:r>
      <w:r>
        <w:rPr>
          <w:rFonts w:ascii="Times New Roman" w:eastAsia="Times New Roman" w:hAnsi="Times New Roman" w:cs="Times New Roman"/>
        </w:rPr>
        <w:t xml:space="preserve"> to sublicense, there is no evide</w:t>
      </w:r>
      <w:r>
        <w:rPr>
          <w:rFonts w:ascii="Times New Roman" w:eastAsia="Times New Roman" w:hAnsi="Times New Roman" w:cs="Times New Roman"/>
        </w:rPr>
        <w:t xml:space="preserve">nce that the essential elements of a contract, such as offer and assent, had been met or that a contract had been formally executed.  On reconsideration, the court in </w:t>
      </w:r>
      <w:r>
        <w:rPr>
          <w:rFonts w:ascii="Times New Roman" w:eastAsia="Times New Roman" w:hAnsi="Times New Roman" w:cs="Times New Roman"/>
          <w:i/>
        </w:rPr>
        <w:t>Sinclair</w:t>
      </w:r>
      <w:r>
        <w:rPr>
          <w:rFonts w:ascii="Times New Roman" w:eastAsia="Times New Roman" w:hAnsi="Times New Roman" w:cs="Times New Roman"/>
        </w:rPr>
        <w:t xml:space="preserve"> alluded to this conundrum, noting that “full force [was not given] to the requir</w:t>
      </w:r>
      <w:r>
        <w:rPr>
          <w:rFonts w:ascii="Times New Roman" w:eastAsia="Times New Roman" w:hAnsi="Times New Roman" w:cs="Times New Roman"/>
        </w:rPr>
        <w:t>ement that a license must convey the licensor’s ‘explicit consent’ to use the copyrighted work.”</w:t>
      </w:r>
      <w:r>
        <w:rPr>
          <w:rFonts w:ascii="Times New Roman" w:eastAsia="Times New Roman" w:hAnsi="Times New Roman" w:cs="Times New Roman"/>
          <w:vertAlign w:val="superscript"/>
        </w:rPr>
        <w:footnoteReference w:id="73"/>
      </w:r>
      <w:r>
        <w:rPr>
          <w:rFonts w:ascii="Times New Roman" w:eastAsia="Times New Roman" w:hAnsi="Times New Roman" w:cs="Times New Roman"/>
        </w:rPr>
        <w:t xml:space="preserve">  Although Mashable may have accepted a theoretical sublicense by the act of embedding Sinclair’s photo, it is not clear that Instagram ever made an offer tha</w:t>
      </w:r>
      <w:r>
        <w:rPr>
          <w:rFonts w:ascii="Times New Roman" w:eastAsia="Times New Roman" w:hAnsi="Times New Roman" w:cs="Times New Roman"/>
        </w:rPr>
        <w:t xml:space="preserve">t Mashable could accept by performance.  </w:t>
      </w:r>
    </w:p>
    <w:p w14:paraId="00000087"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Courts could also invalidate a potential sublicense between Mashable and Instagram by finding that the expansive scope of the rights transferred in the Terms of Use, including the grant of a sublicense, was a contr</w:t>
      </w:r>
      <w:r>
        <w:rPr>
          <w:rFonts w:ascii="Times New Roman" w:eastAsia="Times New Roman" w:hAnsi="Times New Roman" w:cs="Times New Roman"/>
        </w:rPr>
        <w:t>act of adhesion.  Not uncommon in the digital age, contracts of adhesion are usually offered on a “take it or leave it basis:”</w:t>
      </w:r>
      <w:r>
        <w:rPr>
          <w:rFonts w:ascii="Times New Roman" w:eastAsia="Times New Roman" w:hAnsi="Times New Roman" w:cs="Times New Roman"/>
          <w:vertAlign w:val="superscript"/>
        </w:rPr>
        <w:footnoteReference w:id="74"/>
      </w:r>
      <w:r>
        <w:rPr>
          <w:rFonts w:ascii="Times New Roman" w:eastAsia="Times New Roman" w:hAnsi="Times New Roman" w:cs="Times New Roman"/>
        </w:rPr>
        <w:t xml:space="preserve">  </w:t>
      </w:r>
    </w:p>
    <w:p w14:paraId="00000088" w14:textId="77777777" w:rsidR="00FC13B3" w:rsidRDefault="00FC13B3">
      <w:pPr>
        <w:spacing w:line="360" w:lineRule="auto"/>
        <w:ind w:firstLine="720"/>
        <w:rPr>
          <w:rFonts w:ascii="Times New Roman" w:eastAsia="Times New Roman" w:hAnsi="Times New Roman" w:cs="Times New Roman"/>
        </w:rPr>
      </w:pPr>
    </w:p>
    <w:p w14:paraId="00000089" w14:textId="77777777" w:rsidR="00FC13B3" w:rsidRDefault="00E0033E">
      <w:pPr>
        <w:ind w:firstLine="720"/>
        <w:rPr>
          <w:rFonts w:ascii="Times New Roman" w:eastAsia="Times New Roman" w:hAnsi="Times New Roman" w:cs="Times New Roman"/>
        </w:rPr>
      </w:pPr>
      <w:r>
        <w:rPr>
          <w:rFonts w:ascii="Times New Roman" w:eastAsia="Times New Roman" w:hAnsi="Times New Roman" w:cs="Times New Roman"/>
        </w:rPr>
        <w:t xml:space="preserve">[These types of contracts] exist where a party of superior bargaining strength, e.g., a vendor, </w:t>
      </w:r>
    </w:p>
    <w:p w14:paraId="0000008A" w14:textId="77777777" w:rsidR="00FC13B3" w:rsidRDefault="00E0033E">
      <w:pPr>
        <w:ind w:left="720"/>
        <w:rPr>
          <w:rFonts w:ascii="Times New Roman" w:eastAsia="Times New Roman" w:hAnsi="Times New Roman" w:cs="Times New Roman"/>
        </w:rPr>
      </w:pPr>
      <w:r>
        <w:rPr>
          <w:rFonts w:ascii="Times New Roman" w:eastAsia="Times New Roman" w:hAnsi="Times New Roman" w:cs="Times New Roman"/>
        </w:rPr>
        <w:t xml:space="preserve">provides a subscribing party only with the opportunity to adhere to the contract or forfeit use, ownership or access to the vendor’s services and goods.  </w:t>
      </w:r>
      <w:proofErr w:type="gramStart"/>
      <w:r>
        <w:rPr>
          <w:rFonts w:ascii="Times New Roman" w:eastAsia="Times New Roman" w:hAnsi="Times New Roman" w:cs="Times New Roman"/>
        </w:rPr>
        <w:t>But,</w:t>
      </w:r>
      <w:proofErr w:type="gramEnd"/>
      <w:r>
        <w:rPr>
          <w:rFonts w:ascii="Times New Roman" w:eastAsia="Times New Roman" w:hAnsi="Times New Roman" w:cs="Times New Roman"/>
        </w:rPr>
        <w:t xml:space="preserve"> </w:t>
      </w:r>
      <w:r>
        <w:rPr>
          <w:rFonts w:ascii="Times New Roman" w:eastAsia="Times New Roman" w:hAnsi="Times New Roman" w:cs="Times New Roman"/>
        </w:rPr>
        <w:t>the assumption is that the parties have a reasonable opportunity to examine terms before adhering.</w:t>
      </w:r>
      <w:r>
        <w:rPr>
          <w:rFonts w:ascii="Times New Roman" w:eastAsia="Times New Roman" w:hAnsi="Times New Roman" w:cs="Times New Roman"/>
          <w:vertAlign w:val="superscript"/>
        </w:rPr>
        <w:footnoteReference w:id="75"/>
      </w:r>
      <w:r>
        <w:rPr>
          <w:rFonts w:ascii="Times New Roman" w:eastAsia="Times New Roman" w:hAnsi="Times New Roman" w:cs="Times New Roman"/>
        </w:rPr>
        <w:t xml:space="preserve">  </w:t>
      </w:r>
    </w:p>
    <w:p w14:paraId="0000008B" w14:textId="77777777" w:rsidR="00FC13B3" w:rsidRDefault="00FC13B3">
      <w:pPr>
        <w:spacing w:line="360" w:lineRule="auto"/>
        <w:rPr>
          <w:rFonts w:ascii="Times New Roman" w:eastAsia="Times New Roman" w:hAnsi="Times New Roman" w:cs="Times New Roman"/>
        </w:rPr>
      </w:pPr>
    </w:p>
    <w:p w14:paraId="0000008C" w14:textId="77777777" w:rsidR="00FC13B3" w:rsidRDefault="00E0033E">
      <w:pPr>
        <w:spacing w:line="360" w:lineRule="auto"/>
        <w:rPr>
          <w:rFonts w:ascii="Times New Roman" w:eastAsia="Times New Roman" w:hAnsi="Times New Roman" w:cs="Times New Roman"/>
        </w:rPr>
      </w:pPr>
      <w:r>
        <w:rPr>
          <w:rFonts w:ascii="Times New Roman" w:eastAsia="Times New Roman" w:hAnsi="Times New Roman" w:cs="Times New Roman"/>
        </w:rPr>
        <w:t>Courts can void certain provisions in contracts of adhesion based on unequal bargaining power, unfairness, and lack of notice.</w:t>
      </w:r>
      <w:r>
        <w:rPr>
          <w:rFonts w:ascii="Times New Roman" w:eastAsia="Times New Roman" w:hAnsi="Times New Roman" w:cs="Times New Roman"/>
          <w:vertAlign w:val="superscript"/>
        </w:rPr>
        <w:footnoteReference w:id="76"/>
      </w:r>
      <w:r>
        <w:rPr>
          <w:rFonts w:ascii="Times New Roman" w:eastAsia="Times New Roman" w:hAnsi="Times New Roman" w:cs="Times New Roman"/>
        </w:rPr>
        <w:t xml:space="preserve">  As seen in </w:t>
      </w:r>
      <w:r>
        <w:rPr>
          <w:rFonts w:ascii="Times New Roman" w:eastAsia="Times New Roman" w:hAnsi="Times New Roman" w:cs="Times New Roman"/>
          <w:i/>
        </w:rPr>
        <w:t xml:space="preserve">Sinclair </w:t>
      </w:r>
      <w:r>
        <w:rPr>
          <w:rFonts w:ascii="Times New Roman" w:eastAsia="Times New Roman" w:hAnsi="Times New Roman" w:cs="Times New Roman"/>
        </w:rPr>
        <w:t>an</w:t>
      </w:r>
      <w:r>
        <w:rPr>
          <w:rFonts w:ascii="Times New Roman" w:eastAsia="Times New Roman" w:hAnsi="Times New Roman" w:cs="Times New Roman"/>
        </w:rPr>
        <w:t xml:space="preserve">d </w:t>
      </w:r>
      <w:proofErr w:type="spellStart"/>
      <w:r>
        <w:rPr>
          <w:rFonts w:ascii="Times New Roman" w:eastAsia="Times New Roman" w:hAnsi="Times New Roman" w:cs="Times New Roman"/>
          <w:i/>
        </w:rPr>
        <w:t>McGucken</w:t>
      </w:r>
      <w:proofErr w:type="spellEnd"/>
      <w:r>
        <w:rPr>
          <w:rFonts w:ascii="Times New Roman" w:eastAsia="Times New Roman" w:hAnsi="Times New Roman" w:cs="Times New Roman"/>
        </w:rPr>
        <w:t>, professional photographers use Instagram to profile their creative work, yet do not have the ability to negotiate with Instagram to remove the sub-license language from the Terms of Use.  Instagram users also do not have clear and conspicuous n</w:t>
      </w:r>
      <w:r>
        <w:rPr>
          <w:rFonts w:ascii="Times New Roman" w:eastAsia="Times New Roman" w:hAnsi="Times New Roman" w:cs="Times New Roman"/>
        </w:rPr>
        <w:t>otice of the specific terms or scope of the sublicense that Mashable claims to have.</w:t>
      </w:r>
      <w:r>
        <w:rPr>
          <w:rFonts w:ascii="Times New Roman" w:eastAsia="Times New Roman" w:hAnsi="Times New Roman" w:cs="Times New Roman"/>
          <w:vertAlign w:val="superscript"/>
        </w:rPr>
        <w:footnoteReference w:id="77"/>
      </w:r>
      <w:r>
        <w:rPr>
          <w:rFonts w:ascii="Times New Roman" w:eastAsia="Times New Roman" w:hAnsi="Times New Roman" w:cs="Times New Roman"/>
        </w:rPr>
        <w:t xml:space="preserve">  Furthermore, navigating to Instagram’s terms and policies may not be intuitive for some users, and the language referring to the scope of the sublicense are not conspic</w:t>
      </w:r>
      <w:r>
        <w:rPr>
          <w:rFonts w:ascii="Times New Roman" w:eastAsia="Times New Roman" w:hAnsi="Times New Roman" w:cs="Times New Roman"/>
        </w:rPr>
        <w:t>uously emphasized to users and third-parties.</w:t>
      </w:r>
      <w:r>
        <w:rPr>
          <w:rFonts w:ascii="Times New Roman" w:eastAsia="Times New Roman" w:hAnsi="Times New Roman" w:cs="Times New Roman"/>
          <w:vertAlign w:val="superscript"/>
        </w:rPr>
        <w:footnoteReference w:id="78"/>
      </w:r>
      <w:r>
        <w:rPr>
          <w:rFonts w:ascii="Times New Roman" w:eastAsia="Times New Roman" w:hAnsi="Times New Roman" w:cs="Times New Roman"/>
        </w:rPr>
        <w:t xml:space="preserve">  The Second Circuit has observed that “when the [sub-license language] does not appear to be a contract and the terms are not called to the attention of the recipient, … [then] no contract is formed with resp</w:t>
      </w:r>
      <w:r>
        <w:rPr>
          <w:rFonts w:ascii="Times New Roman" w:eastAsia="Times New Roman" w:hAnsi="Times New Roman" w:cs="Times New Roman"/>
        </w:rPr>
        <w:t>ect to the undisclosed term[s].”</w:t>
      </w:r>
      <w:r>
        <w:rPr>
          <w:rFonts w:ascii="Times New Roman" w:eastAsia="Times New Roman" w:hAnsi="Times New Roman" w:cs="Times New Roman"/>
          <w:vertAlign w:val="superscript"/>
        </w:rPr>
        <w:footnoteReference w:id="79"/>
      </w:r>
      <w:r>
        <w:rPr>
          <w:rFonts w:ascii="Times New Roman" w:eastAsia="Times New Roman" w:hAnsi="Times New Roman" w:cs="Times New Roman"/>
        </w:rPr>
        <w:t xml:space="preserve">               </w:t>
      </w:r>
    </w:p>
    <w:p w14:paraId="0000008D" w14:textId="77777777" w:rsidR="00FC13B3" w:rsidRDefault="00E0033E">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p>
    <w:p w14:paraId="0000008E" w14:textId="77777777" w:rsidR="00FC13B3" w:rsidRDefault="00E0033E">
      <w:pPr>
        <w:spacing w:line="360" w:lineRule="auto"/>
        <w:rPr>
          <w:rFonts w:ascii="Times New Roman" w:eastAsia="Times New Roman" w:hAnsi="Times New Roman" w:cs="Times New Roman"/>
          <w:b/>
        </w:rPr>
      </w:pPr>
      <w:r>
        <w:rPr>
          <w:rFonts w:ascii="Times New Roman" w:eastAsia="Times New Roman" w:hAnsi="Times New Roman" w:cs="Times New Roman"/>
          <w:b/>
        </w:rPr>
        <w:t xml:space="preserve">PART V: APPLICABLE DEFENSES </w:t>
      </w:r>
    </w:p>
    <w:p w14:paraId="0000008F" w14:textId="77777777" w:rsidR="00FC13B3" w:rsidRDefault="00FC13B3">
      <w:pPr>
        <w:spacing w:line="360" w:lineRule="auto"/>
        <w:rPr>
          <w:rFonts w:ascii="Times New Roman" w:eastAsia="Times New Roman" w:hAnsi="Times New Roman" w:cs="Times New Roman"/>
        </w:rPr>
      </w:pPr>
    </w:p>
    <w:p w14:paraId="00000090"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 xml:space="preserve">The defendant in </w:t>
      </w:r>
      <w:r>
        <w:rPr>
          <w:rFonts w:ascii="Times New Roman" w:eastAsia="Times New Roman" w:hAnsi="Times New Roman" w:cs="Times New Roman"/>
          <w:i/>
        </w:rPr>
        <w:t>Sinclair</w:t>
      </w:r>
      <w:r>
        <w:rPr>
          <w:rFonts w:ascii="Times New Roman" w:eastAsia="Times New Roman" w:hAnsi="Times New Roman" w:cs="Times New Roman"/>
        </w:rPr>
        <w:t xml:space="preserve"> has a weak fair use argument.  Although the Second Circuit has recognized that:  “[</w:t>
      </w:r>
      <w:proofErr w:type="spellStart"/>
      <w:r>
        <w:rPr>
          <w:rFonts w:ascii="Times New Roman" w:eastAsia="Times New Roman" w:hAnsi="Times New Roman" w:cs="Times New Roman"/>
        </w:rPr>
        <w:t>i</w:t>
      </w:r>
      <w:proofErr w:type="spellEnd"/>
      <w:r>
        <w:rPr>
          <w:rFonts w:ascii="Times New Roman" w:eastAsia="Times New Roman" w:hAnsi="Times New Roman" w:cs="Times New Roman"/>
        </w:rPr>
        <w:t xml:space="preserve">]n the context of news reporting and analogous activities, … </w:t>
      </w:r>
      <w:r>
        <w:rPr>
          <w:rFonts w:ascii="Times New Roman" w:eastAsia="Times New Roman" w:hAnsi="Times New Roman" w:cs="Times New Roman"/>
        </w:rPr>
        <w:t xml:space="preserve">the need to convey information to the public accurately may in some instances [be fair use] for a defendant to faithfully reproduce an original work without alteration” if the work is surrounded by commentary or criticism, the use in </w:t>
      </w:r>
      <w:r>
        <w:rPr>
          <w:rFonts w:ascii="Times New Roman" w:eastAsia="Times New Roman" w:hAnsi="Times New Roman" w:cs="Times New Roman"/>
          <w:i/>
        </w:rPr>
        <w:t>Sinclair</w:t>
      </w:r>
      <w:r>
        <w:rPr>
          <w:rFonts w:ascii="Times New Roman" w:eastAsia="Times New Roman" w:hAnsi="Times New Roman" w:cs="Times New Roman"/>
        </w:rPr>
        <w:t xml:space="preserve"> was for a com</w:t>
      </w:r>
      <w:r>
        <w:rPr>
          <w:rFonts w:ascii="Times New Roman" w:eastAsia="Times New Roman" w:hAnsi="Times New Roman" w:cs="Times New Roman"/>
        </w:rPr>
        <w:t>mercial purpose and the work was used in its entirety.</w:t>
      </w:r>
      <w:r>
        <w:rPr>
          <w:rFonts w:ascii="Times New Roman" w:eastAsia="Times New Roman" w:hAnsi="Times New Roman" w:cs="Times New Roman"/>
          <w:vertAlign w:val="superscript"/>
        </w:rPr>
        <w:footnoteReference w:id="80"/>
      </w:r>
      <w:r>
        <w:rPr>
          <w:rFonts w:ascii="Times New Roman" w:eastAsia="Times New Roman" w:hAnsi="Times New Roman" w:cs="Times New Roman"/>
        </w:rPr>
        <w:t xml:space="preserve">  Furthermore, since Sinclair sustains her business through selling and licensing photographs, there is a negative effect on the potential market for the photo in question.   </w:t>
      </w:r>
    </w:p>
    <w:p w14:paraId="00000091"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The DMCA’s § 512 safe ha</w:t>
      </w:r>
      <w:r>
        <w:rPr>
          <w:rFonts w:ascii="Times New Roman" w:eastAsia="Times New Roman" w:hAnsi="Times New Roman" w:cs="Times New Roman"/>
        </w:rPr>
        <w:t>rbor also provides ineffective relief for Mashable.  Pursuant to §512, a service provided may not be liable:</w:t>
      </w:r>
    </w:p>
    <w:p w14:paraId="00000092"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 xml:space="preserve"> </w:t>
      </w:r>
    </w:p>
    <w:p w14:paraId="00000093" w14:textId="77777777" w:rsidR="00FC13B3" w:rsidRDefault="00E0033E">
      <w:pPr>
        <w:ind w:left="720"/>
        <w:rPr>
          <w:rFonts w:ascii="Times New Roman" w:eastAsia="Times New Roman" w:hAnsi="Times New Roman" w:cs="Times New Roman"/>
        </w:rPr>
      </w:pPr>
      <w:r>
        <w:rPr>
          <w:rFonts w:ascii="Times New Roman" w:eastAsia="Times New Roman" w:hAnsi="Times New Roman" w:cs="Times New Roman"/>
        </w:rPr>
        <w:lastRenderedPageBreak/>
        <w:t>for infringement of copyright by reason of the [service] provider referring or linking users to an online location containing infringing material</w:t>
      </w:r>
      <w:r>
        <w:rPr>
          <w:rFonts w:ascii="Times New Roman" w:eastAsia="Times New Roman" w:hAnsi="Times New Roman" w:cs="Times New Roman"/>
        </w:rPr>
        <w:t xml:space="preserve"> or infringing activity, by using information location tools, including a directory, index, reference, pointer, or hypertext link … </w:t>
      </w:r>
      <w:r>
        <w:rPr>
          <w:rFonts w:ascii="Times New Roman" w:eastAsia="Times New Roman" w:hAnsi="Times New Roman" w:cs="Times New Roman"/>
          <w:vertAlign w:val="superscript"/>
        </w:rPr>
        <w:footnoteReference w:id="81"/>
      </w:r>
      <w:r>
        <w:rPr>
          <w:rFonts w:ascii="Times New Roman" w:eastAsia="Times New Roman" w:hAnsi="Times New Roman" w:cs="Times New Roman"/>
        </w:rPr>
        <w:t xml:space="preserve"> </w:t>
      </w:r>
    </w:p>
    <w:p w14:paraId="00000094" w14:textId="77777777" w:rsidR="00FC13B3" w:rsidRDefault="00FC13B3">
      <w:pPr>
        <w:rPr>
          <w:rFonts w:ascii="Times New Roman" w:eastAsia="Times New Roman" w:hAnsi="Times New Roman" w:cs="Times New Roman"/>
        </w:rPr>
      </w:pPr>
    </w:p>
    <w:p w14:paraId="00000095" w14:textId="77777777" w:rsidR="00FC13B3" w:rsidRDefault="00E0033E">
      <w:pPr>
        <w:spacing w:line="360" w:lineRule="auto"/>
        <w:rPr>
          <w:rFonts w:ascii="Times New Roman" w:eastAsia="Times New Roman" w:hAnsi="Times New Roman" w:cs="Times New Roman"/>
        </w:rPr>
      </w:pPr>
      <w:r>
        <w:rPr>
          <w:rFonts w:ascii="Times New Roman" w:eastAsia="Times New Roman" w:hAnsi="Times New Roman" w:cs="Times New Roman"/>
        </w:rPr>
        <w:t>Although “linking users to an online location” may encompass embedding, DMCA’s § 512 is not applicable for service providers who (1) have knowledge of the infringing activity; and (2) upon obtaining knowledge of the infringing activity, do not act expediti</w:t>
      </w:r>
      <w:r>
        <w:rPr>
          <w:rFonts w:ascii="Times New Roman" w:eastAsia="Times New Roman" w:hAnsi="Times New Roman" w:cs="Times New Roman"/>
        </w:rPr>
        <w:t>ously to remove, or disable access to, the infringing material.</w:t>
      </w:r>
      <w:r>
        <w:rPr>
          <w:rFonts w:ascii="Times New Roman" w:eastAsia="Times New Roman" w:hAnsi="Times New Roman" w:cs="Times New Roman"/>
          <w:vertAlign w:val="superscript"/>
        </w:rPr>
        <w:footnoteReference w:id="82"/>
      </w:r>
      <w:r>
        <w:rPr>
          <w:rFonts w:ascii="Times New Roman" w:eastAsia="Times New Roman" w:hAnsi="Times New Roman" w:cs="Times New Roman"/>
        </w:rPr>
        <w:t xml:space="preserve">  Here, Mashable may have operated on an assumption that its use was fair use, although this is questionable given the fact that Mashable offered to pay Sinclair $50 for a display license.  S</w:t>
      </w:r>
      <w:r>
        <w:rPr>
          <w:rFonts w:ascii="Times New Roman" w:eastAsia="Times New Roman" w:hAnsi="Times New Roman" w:cs="Times New Roman"/>
        </w:rPr>
        <w:t>econdly, when Sinclair asked Mashable to take down the photo, Mashable refused.</w:t>
      </w:r>
    </w:p>
    <w:p w14:paraId="00000096"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 xml:space="preserve">Not all instances of display through embedding will render such a positive outcome for a plaintiff photographer.  Many times, a photo is displayed without the knowledge of the </w:t>
      </w:r>
      <w:r>
        <w:rPr>
          <w:rFonts w:ascii="Times New Roman" w:eastAsia="Times New Roman" w:hAnsi="Times New Roman" w:cs="Times New Roman"/>
        </w:rPr>
        <w:t xml:space="preserve">photographer.  Photographers may also realize that their work has been displayed long after the initial buzz and reception by the media when their negotiating power is the strongest.  Some photographers may be unaware of their enforcement rights given the </w:t>
      </w:r>
      <w:r>
        <w:rPr>
          <w:rFonts w:ascii="Times New Roman" w:eastAsia="Times New Roman" w:hAnsi="Times New Roman" w:cs="Times New Roman"/>
        </w:rPr>
        <w:t xml:space="preserve">predominant culture of sharing and open access surrounding internet activity.  With few cases to cite that challenge unauthorized embedding, many prospective plaintiffs may not have the financial means, courage, or opportunity to challenge powerful social </w:t>
      </w:r>
      <w:r>
        <w:rPr>
          <w:rFonts w:ascii="Times New Roman" w:eastAsia="Times New Roman" w:hAnsi="Times New Roman" w:cs="Times New Roman"/>
        </w:rPr>
        <w:t xml:space="preserve">media organizations.        </w:t>
      </w:r>
    </w:p>
    <w:p w14:paraId="00000097" w14:textId="77777777" w:rsidR="00FC13B3" w:rsidRDefault="00FC13B3">
      <w:pPr>
        <w:spacing w:line="360" w:lineRule="auto"/>
        <w:rPr>
          <w:rFonts w:ascii="Times New Roman" w:eastAsia="Times New Roman" w:hAnsi="Times New Roman" w:cs="Times New Roman"/>
        </w:rPr>
      </w:pPr>
    </w:p>
    <w:p w14:paraId="00000098" w14:textId="77777777" w:rsidR="00FC13B3" w:rsidRDefault="00E0033E">
      <w:pPr>
        <w:jc w:val="center"/>
        <w:rPr>
          <w:rFonts w:ascii="Times New Roman" w:eastAsia="Times New Roman" w:hAnsi="Times New Roman" w:cs="Times New Roman"/>
          <w:b/>
        </w:rPr>
      </w:pPr>
      <w:r>
        <w:rPr>
          <w:rFonts w:ascii="Times New Roman" w:eastAsia="Times New Roman" w:hAnsi="Times New Roman" w:cs="Times New Roman"/>
          <w:b/>
        </w:rPr>
        <w:t>CONCLUSION</w:t>
      </w:r>
    </w:p>
    <w:p w14:paraId="00000099" w14:textId="77777777" w:rsidR="00FC13B3" w:rsidRDefault="00FC13B3">
      <w:pPr>
        <w:spacing w:line="360" w:lineRule="auto"/>
        <w:ind w:firstLine="720"/>
        <w:rPr>
          <w:rFonts w:ascii="Times New Roman" w:eastAsia="Times New Roman" w:hAnsi="Times New Roman" w:cs="Times New Roman"/>
        </w:rPr>
      </w:pPr>
    </w:p>
    <w:p w14:paraId="0000009A"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As the ancient Greeks taught us, exceptional storytelling embellishes facts with art and theatricals.  Embedding photos in news stories, social media feeds, blogs, and professional websites is a modern phenomenon and art form that has transformed the globa</w:t>
      </w:r>
      <w:r>
        <w:rPr>
          <w:rFonts w:ascii="Times New Roman" w:eastAsia="Times New Roman" w:hAnsi="Times New Roman" w:cs="Times New Roman"/>
        </w:rPr>
        <w:t xml:space="preserve">l media industry.  Embedding photos also uniquely chronicles the history of humanity, including times when humanity has faced unusual circumstances and moments of crisis.  To stifle photo sharing and publication would close our eyes to the face and shared </w:t>
      </w:r>
      <w:r>
        <w:rPr>
          <w:rFonts w:ascii="Times New Roman" w:eastAsia="Times New Roman" w:hAnsi="Times New Roman" w:cs="Times New Roman"/>
        </w:rPr>
        <w:t>experience of humanity.</w:t>
      </w:r>
    </w:p>
    <w:p w14:paraId="0000009B"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In order to protect the economic viability of their craft, professional photographers need stronger copyright rights.  Licensing regimes provide ways to compensate photographs, but the process is inefficient, and the culture of open</w:t>
      </w:r>
      <w:r>
        <w:rPr>
          <w:rFonts w:ascii="Times New Roman" w:eastAsia="Times New Roman" w:hAnsi="Times New Roman" w:cs="Times New Roman"/>
        </w:rPr>
        <w:t xml:space="preserve"> “sharing” is often at conflict with licensing rights.  Furthermore, tracking and enforcing infringement on a global scale is a futile exercise.  Given various defenses available to defendants, the shield of the Server Test, and the contracts of adhesion p</w:t>
      </w:r>
      <w:r>
        <w:rPr>
          <w:rFonts w:ascii="Times New Roman" w:eastAsia="Times New Roman" w:hAnsi="Times New Roman" w:cs="Times New Roman"/>
        </w:rPr>
        <w:t xml:space="preserve">resented by social media giants, the force of the display right in the internet age is dull at best.    </w:t>
      </w:r>
    </w:p>
    <w:p w14:paraId="0000009C"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lastRenderedPageBreak/>
        <w:t xml:space="preserve">The backdrop of the EU Copyright Directive also suggests a changing global tide that may give more control to photographers over embedding rights.  To </w:t>
      </w:r>
      <w:r>
        <w:rPr>
          <w:rFonts w:ascii="Times New Roman" w:eastAsia="Times New Roman" w:hAnsi="Times New Roman" w:cs="Times New Roman"/>
        </w:rPr>
        <w:t xml:space="preserve">commence, </w:t>
      </w:r>
      <w:r>
        <w:rPr>
          <w:rFonts w:ascii="Times New Roman" w:eastAsia="Times New Roman" w:hAnsi="Times New Roman" w:cs="Times New Roman"/>
          <w:i/>
        </w:rPr>
        <w:t>Goldman</w:t>
      </w:r>
      <w:r>
        <w:rPr>
          <w:rFonts w:ascii="Times New Roman" w:eastAsia="Times New Roman" w:hAnsi="Times New Roman" w:cs="Times New Roman"/>
        </w:rPr>
        <w:t xml:space="preserve"> shifted the balance in favor of photographers by ruling that embedding photos constituted a display regardless of its storage location.  Likewise, </w:t>
      </w:r>
      <w:proofErr w:type="spellStart"/>
      <w:r>
        <w:rPr>
          <w:rFonts w:ascii="Times New Roman" w:eastAsia="Times New Roman" w:hAnsi="Times New Roman" w:cs="Times New Roman"/>
          <w:i/>
        </w:rPr>
        <w:t>McGucken</w:t>
      </w:r>
      <w:proofErr w:type="spellEnd"/>
      <w:r>
        <w:rPr>
          <w:rFonts w:ascii="Times New Roman" w:eastAsia="Times New Roman" w:hAnsi="Times New Roman" w:cs="Times New Roman"/>
        </w:rPr>
        <w:t xml:space="preserve"> declined to find that an express or implied sub-license existed that gave Mashable</w:t>
      </w:r>
      <w:r>
        <w:rPr>
          <w:rFonts w:ascii="Times New Roman" w:eastAsia="Times New Roman" w:hAnsi="Times New Roman" w:cs="Times New Roman"/>
        </w:rPr>
        <w:t xml:space="preserve"> an unbridled opportunity to embed user content without the user’s permission.  </w:t>
      </w:r>
      <w:r>
        <w:rPr>
          <w:rFonts w:ascii="Times New Roman" w:eastAsia="Times New Roman" w:hAnsi="Times New Roman" w:cs="Times New Roman"/>
          <w:i/>
        </w:rPr>
        <w:t>Sinclair</w:t>
      </w:r>
      <w:r>
        <w:rPr>
          <w:rFonts w:ascii="Times New Roman" w:eastAsia="Times New Roman" w:hAnsi="Times New Roman" w:cs="Times New Roman"/>
        </w:rPr>
        <w:t xml:space="preserve"> similarly questions the validity of the Instagram sub-license, and this article explains why no contractual relationship existed as an express or implied sublicense.  </w:t>
      </w:r>
      <w:r>
        <w:rPr>
          <w:rFonts w:ascii="Times New Roman" w:eastAsia="Times New Roman" w:hAnsi="Times New Roman" w:cs="Times New Roman"/>
        </w:rPr>
        <w:t xml:space="preserve">Furthermore, this article argues that any supposed sublicense in </w:t>
      </w:r>
      <w:r>
        <w:rPr>
          <w:rFonts w:ascii="Times New Roman" w:eastAsia="Times New Roman" w:hAnsi="Times New Roman" w:cs="Times New Roman"/>
          <w:i/>
        </w:rPr>
        <w:t xml:space="preserve">Sinclair </w:t>
      </w:r>
      <w:r>
        <w:rPr>
          <w:rFonts w:ascii="Times New Roman" w:eastAsia="Times New Roman" w:hAnsi="Times New Roman" w:cs="Times New Roman"/>
        </w:rPr>
        <w:t xml:space="preserve">would fail as an unenforceable contract due to a lack of formalities and unfair terms.  </w:t>
      </w:r>
    </w:p>
    <w:p w14:paraId="0000009D"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 xml:space="preserve">The result in </w:t>
      </w:r>
      <w:r>
        <w:rPr>
          <w:rFonts w:ascii="Times New Roman" w:eastAsia="Times New Roman" w:hAnsi="Times New Roman" w:cs="Times New Roman"/>
          <w:i/>
        </w:rPr>
        <w:t xml:space="preserve">Sinclair </w:t>
      </w:r>
      <w:r>
        <w:rPr>
          <w:rFonts w:ascii="Times New Roman" w:eastAsia="Times New Roman" w:hAnsi="Times New Roman" w:cs="Times New Roman"/>
        </w:rPr>
        <w:t>will be a wake-up call to the internet community.  The norms of sharin</w:t>
      </w:r>
      <w:r>
        <w:rPr>
          <w:rFonts w:ascii="Times New Roman" w:eastAsia="Times New Roman" w:hAnsi="Times New Roman" w:cs="Times New Roman"/>
        </w:rPr>
        <w:t>g will undoubtedly evolve, and the rampant culture of posting and embedding may temporarily decelerate.  However, courts can count on technological innovators who will continue to develop work-arounds and find novel ways to embellish and embed stories with</w:t>
      </w:r>
      <w:r>
        <w:rPr>
          <w:rFonts w:ascii="Times New Roman" w:eastAsia="Times New Roman" w:hAnsi="Times New Roman" w:cs="Times New Roman"/>
        </w:rPr>
        <w:t xml:space="preserve">in the legal constructs of the Copyright Act and in the midst of a global movement that champions user rights.  The recent case developments in the Second Circuit and a pro-photographer decision in </w:t>
      </w:r>
      <w:r>
        <w:rPr>
          <w:rFonts w:ascii="Times New Roman" w:eastAsia="Times New Roman" w:hAnsi="Times New Roman" w:cs="Times New Roman"/>
          <w:i/>
        </w:rPr>
        <w:t>Sinclair</w:t>
      </w:r>
      <w:r>
        <w:rPr>
          <w:rFonts w:ascii="Times New Roman" w:eastAsia="Times New Roman" w:hAnsi="Times New Roman" w:cs="Times New Roman"/>
        </w:rPr>
        <w:t xml:space="preserve"> will ultimately lead to long-awaited economic tai</w:t>
      </w:r>
      <w:r>
        <w:rPr>
          <w:rFonts w:ascii="Times New Roman" w:eastAsia="Times New Roman" w:hAnsi="Times New Roman" w:cs="Times New Roman"/>
        </w:rPr>
        <w:t xml:space="preserve">lwinds for photographers and artists, many of whom have experienced financial hardship during the COVID-19 crisis.    </w:t>
      </w:r>
    </w:p>
    <w:p w14:paraId="0000009E" w14:textId="77777777" w:rsidR="00FC13B3" w:rsidRDefault="00E0033E">
      <w:pPr>
        <w:spacing w:line="360" w:lineRule="auto"/>
        <w:ind w:firstLine="720"/>
        <w:rPr>
          <w:rFonts w:ascii="Times New Roman" w:eastAsia="Times New Roman" w:hAnsi="Times New Roman" w:cs="Times New Roman"/>
        </w:rPr>
      </w:pPr>
      <w:r>
        <w:rPr>
          <w:rFonts w:ascii="Times New Roman" w:eastAsia="Times New Roman" w:hAnsi="Times New Roman" w:cs="Times New Roman"/>
        </w:rPr>
        <w:t xml:space="preserve">         </w:t>
      </w:r>
    </w:p>
    <w:p w14:paraId="0000009F" w14:textId="77777777" w:rsidR="00FC13B3" w:rsidRDefault="00FC13B3">
      <w:pPr>
        <w:rPr>
          <w:rFonts w:ascii="Times New Roman" w:eastAsia="Times New Roman" w:hAnsi="Times New Roman" w:cs="Times New Roman"/>
          <w:b/>
          <w:highlight w:val="yellow"/>
        </w:rPr>
      </w:pPr>
    </w:p>
    <w:sectPr w:rsidR="00FC13B3">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AE502CF" w14:textId="77777777" w:rsidR="00E0033E" w:rsidRDefault="00E0033E">
      <w:pPr>
        <w:spacing w:line="240" w:lineRule="auto"/>
      </w:pPr>
      <w:r>
        <w:separator/>
      </w:r>
    </w:p>
  </w:endnote>
  <w:endnote w:type="continuationSeparator" w:id="0">
    <w:p w14:paraId="0FB95469" w14:textId="77777777" w:rsidR="00E0033E" w:rsidRDefault="00E0033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CEAFA98" w14:textId="77777777" w:rsidR="00E0033E" w:rsidRDefault="00E0033E">
      <w:pPr>
        <w:spacing w:line="240" w:lineRule="auto"/>
      </w:pPr>
      <w:r>
        <w:separator/>
      </w:r>
    </w:p>
  </w:footnote>
  <w:footnote w:type="continuationSeparator" w:id="0">
    <w:p w14:paraId="7461A15B" w14:textId="77777777" w:rsidR="00E0033E" w:rsidRDefault="00E0033E">
      <w:pPr>
        <w:spacing w:line="240" w:lineRule="auto"/>
      </w:pPr>
      <w:r>
        <w:continuationSeparator/>
      </w:r>
    </w:p>
  </w:footnote>
  <w:footnote w:id="1">
    <w:p w14:paraId="000000EE" w14:textId="77777777" w:rsidR="00FC13B3" w:rsidRDefault="00E0033E">
      <w:pPr>
        <w:spacing w:line="240" w:lineRule="auto"/>
        <w:rPr>
          <w:rFonts w:ascii="Times New Roman" w:eastAsia="Times New Roman" w:hAnsi="Times New Roman" w:cs="Times New Roman"/>
          <w:i/>
          <w:sz w:val="20"/>
          <w:szCs w:val="20"/>
        </w:rPr>
      </w:pPr>
      <w:r>
        <w:rPr>
          <w:vertAlign w:val="superscript"/>
        </w:rPr>
        <w:footnoteRef/>
      </w:r>
      <w:r>
        <w:rPr>
          <w:rFonts w:ascii="Times New Roman" w:eastAsia="Times New Roman" w:hAnsi="Times New Roman" w:cs="Times New Roman"/>
          <w:i/>
          <w:sz w:val="20"/>
          <w:szCs w:val="20"/>
        </w:rPr>
        <w:t xml:space="preserve"> Flava Works</w:t>
      </w:r>
    </w:p>
  </w:footnote>
  <w:footnote w:id="2">
    <w:p w14:paraId="000000A0"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Compare</w:t>
      </w:r>
      <w:r>
        <w:rPr>
          <w:rFonts w:ascii="Times New Roman" w:eastAsia="Times New Roman" w:hAnsi="Times New Roman" w:cs="Times New Roman"/>
          <w:sz w:val="20"/>
          <w:szCs w:val="20"/>
        </w:rPr>
        <w:t xml:space="preserve"> </w:t>
      </w:r>
      <w:r>
        <w:rPr>
          <w:rFonts w:ascii="Times New Roman" w:eastAsia="Times New Roman" w:hAnsi="Times New Roman" w:cs="Times New Roman"/>
          <w:i/>
          <w:sz w:val="20"/>
          <w:szCs w:val="20"/>
        </w:rPr>
        <w:t>Goldman v. Breitbart News Network, LLC</w:t>
      </w:r>
      <w:r>
        <w:rPr>
          <w:rFonts w:ascii="Times New Roman" w:eastAsia="Times New Roman" w:hAnsi="Times New Roman" w:cs="Times New Roman"/>
          <w:sz w:val="20"/>
          <w:szCs w:val="20"/>
        </w:rPr>
        <w:t xml:space="preserve">, 302 </w:t>
      </w:r>
      <w:proofErr w:type="spellStart"/>
      <w:r>
        <w:rPr>
          <w:rFonts w:ascii="Times New Roman" w:eastAsia="Times New Roman" w:hAnsi="Times New Roman" w:cs="Times New Roman"/>
          <w:sz w:val="20"/>
          <w:szCs w:val="20"/>
        </w:rPr>
        <w:t>F.Supp</w:t>
      </w:r>
      <w:proofErr w:type="spellEnd"/>
      <w:r>
        <w:rPr>
          <w:rFonts w:ascii="Times New Roman" w:eastAsia="Times New Roman" w:hAnsi="Times New Roman" w:cs="Times New Roman"/>
          <w:sz w:val="20"/>
          <w:szCs w:val="20"/>
        </w:rPr>
        <w:t xml:space="preserve">. 3d. 585 (S.D.N.Y. 2018) </w:t>
      </w:r>
      <w:r>
        <w:rPr>
          <w:rFonts w:ascii="Times New Roman" w:eastAsia="Times New Roman" w:hAnsi="Times New Roman" w:cs="Times New Roman"/>
          <w:i/>
          <w:sz w:val="20"/>
          <w:szCs w:val="20"/>
        </w:rPr>
        <w:t>with Perfect 10, Inc. v. Amazon.com, Inc</w:t>
      </w:r>
      <w:r>
        <w:rPr>
          <w:rFonts w:ascii="Times New Roman" w:eastAsia="Times New Roman" w:hAnsi="Times New Roman" w:cs="Times New Roman"/>
          <w:i/>
          <w:sz w:val="20"/>
          <w:szCs w:val="20"/>
        </w:rPr>
        <w:t>.</w:t>
      </w:r>
      <w:r>
        <w:rPr>
          <w:rFonts w:ascii="Times New Roman" w:eastAsia="Times New Roman" w:hAnsi="Times New Roman" w:cs="Times New Roman"/>
          <w:sz w:val="20"/>
          <w:szCs w:val="20"/>
        </w:rPr>
        <w:t xml:space="preserve">, 508 F.3d 1146 (9th Cir. 2007) (liability for infringement depends on whether photos are stored on a server). </w:t>
      </w:r>
    </w:p>
  </w:footnote>
  <w:footnote w:id="3">
    <w:p w14:paraId="000000A2" w14:textId="77777777" w:rsidR="00FC13B3" w:rsidRDefault="00E0033E">
      <w:pPr>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Goldman v. Breitbart News Network, LLC</w:t>
      </w:r>
      <w:r>
        <w:rPr>
          <w:rFonts w:ascii="Times New Roman" w:eastAsia="Times New Roman" w:hAnsi="Times New Roman" w:cs="Times New Roman"/>
          <w:sz w:val="20"/>
          <w:szCs w:val="20"/>
        </w:rPr>
        <w:t xml:space="preserve">, 302 </w:t>
      </w:r>
      <w:proofErr w:type="spellStart"/>
      <w:r>
        <w:rPr>
          <w:rFonts w:ascii="Times New Roman" w:eastAsia="Times New Roman" w:hAnsi="Times New Roman" w:cs="Times New Roman"/>
          <w:sz w:val="20"/>
          <w:szCs w:val="20"/>
        </w:rPr>
        <w:t>F.Supp</w:t>
      </w:r>
      <w:proofErr w:type="spellEnd"/>
      <w:r>
        <w:rPr>
          <w:rFonts w:ascii="Times New Roman" w:eastAsia="Times New Roman" w:hAnsi="Times New Roman" w:cs="Times New Roman"/>
          <w:sz w:val="20"/>
          <w:szCs w:val="20"/>
        </w:rPr>
        <w:t>. 3d. 585 (S.D.N.Y. 2018).</w:t>
      </w:r>
    </w:p>
  </w:footnote>
  <w:footnote w:id="4">
    <w:p w14:paraId="000000A3"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i/>
          <w:sz w:val="20"/>
          <w:szCs w:val="20"/>
        </w:rPr>
        <w:t>McGucken</w:t>
      </w:r>
      <w:proofErr w:type="spellEnd"/>
      <w:r>
        <w:rPr>
          <w:rFonts w:ascii="Times New Roman" w:eastAsia="Times New Roman" w:hAnsi="Times New Roman" w:cs="Times New Roman"/>
          <w:i/>
          <w:sz w:val="20"/>
          <w:szCs w:val="20"/>
        </w:rPr>
        <w:t xml:space="preserve"> v. Newsweek LLC</w:t>
      </w:r>
      <w:r>
        <w:rPr>
          <w:rFonts w:ascii="Times New Roman" w:eastAsia="Times New Roman" w:hAnsi="Times New Roman" w:cs="Times New Roman"/>
          <w:sz w:val="20"/>
          <w:szCs w:val="20"/>
        </w:rPr>
        <w:t>, -- F.Supp.3d -- 2020 WL 2836427 (S.D.N.Y. 2020).</w:t>
      </w:r>
    </w:p>
  </w:footnote>
  <w:footnote w:id="5">
    <w:p w14:paraId="000000A1"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Opinion and Order, </w:t>
      </w:r>
      <w:r>
        <w:rPr>
          <w:rFonts w:ascii="Times New Roman" w:eastAsia="Times New Roman" w:hAnsi="Times New Roman" w:cs="Times New Roman"/>
          <w:i/>
          <w:sz w:val="20"/>
          <w:szCs w:val="20"/>
        </w:rPr>
        <w:t>Sinclair v. Ziff Davis, LLC.</w:t>
      </w:r>
      <w:r>
        <w:rPr>
          <w:rFonts w:ascii="Times New Roman" w:eastAsia="Times New Roman" w:hAnsi="Times New Roman" w:cs="Times New Roman"/>
          <w:sz w:val="20"/>
          <w:szCs w:val="20"/>
        </w:rPr>
        <w:t xml:space="preserve">, 18-CV-790 (Filed June, 24, 2020); </w:t>
      </w:r>
      <w:r>
        <w:rPr>
          <w:rFonts w:ascii="Times New Roman" w:eastAsia="Times New Roman" w:hAnsi="Times New Roman" w:cs="Times New Roman"/>
          <w:i/>
          <w:sz w:val="20"/>
          <w:szCs w:val="20"/>
        </w:rPr>
        <w:t>Sinclair v. Ziff Davis, LLC.</w:t>
      </w:r>
      <w:r>
        <w:rPr>
          <w:rFonts w:ascii="Times New Roman" w:eastAsia="Times New Roman" w:hAnsi="Times New Roman" w:cs="Times New Roman"/>
          <w:sz w:val="20"/>
          <w:szCs w:val="20"/>
        </w:rPr>
        <w:t xml:space="preserve">, -- F. Supp. 3d. </w:t>
      </w:r>
      <w:proofErr w:type="gramStart"/>
      <w:r>
        <w:rPr>
          <w:rFonts w:ascii="Times New Roman" w:eastAsia="Times New Roman" w:hAnsi="Times New Roman" w:cs="Times New Roman"/>
          <w:sz w:val="20"/>
          <w:szCs w:val="20"/>
        </w:rPr>
        <w:t>--  2020</w:t>
      </w:r>
      <w:proofErr w:type="gramEnd"/>
      <w:r>
        <w:rPr>
          <w:rFonts w:ascii="Times New Roman" w:eastAsia="Times New Roman" w:hAnsi="Times New Roman" w:cs="Times New Roman"/>
          <w:sz w:val="20"/>
          <w:szCs w:val="20"/>
        </w:rPr>
        <w:t xml:space="preserve"> WL 1847841 (S.D.N.Y. 2020). </w:t>
      </w:r>
    </w:p>
  </w:footnote>
  <w:footnote w:id="6">
    <w:p w14:paraId="000000A4"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Ward v. National Geographic Soc.</w:t>
      </w:r>
      <w:r>
        <w:rPr>
          <w:rFonts w:ascii="Times New Roman" w:eastAsia="Times New Roman" w:hAnsi="Times New Roman" w:cs="Times New Roman"/>
          <w:sz w:val="20"/>
          <w:szCs w:val="20"/>
        </w:rPr>
        <w:t xml:space="preserve">, 208 </w:t>
      </w:r>
      <w:proofErr w:type="spellStart"/>
      <w:r>
        <w:rPr>
          <w:rFonts w:ascii="Times New Roman" w:eastAsia="Times New Roman" w:hAnsi="Times New Roman" w:cs="Times New Roman"/>
          <w:sz w:val="20"/>
          <w:szCs w:val="20"/>
        </w:rPr>
        <w:t>F.Su</w:t>
      </w:r>
      <w:r>
        <w:rPr>
          <w:rFonts w:ascii="Times New Roman" w:eastAsia="Times New Roman" w:hAnsi="Times New Roman" w:cs="Times New Roman"/>
          <w:sz w:val="20"/>
          <w:szCs w:val="20"/>
        </w:rPr>
        <w:t>pp</w:t>
      </w:r>
      <w:proofErr w:type="spellEnd"/>
      <w:r>
        <w:rPr>
          <w:rFonts w:ascii="Times New Roman" w:eastAsia="Times New Roman" w:hAnsi="Times New Roman" w:cs="Times New Roman"/>
          <w:sz w:val="20"/>
          <w:szCs w:val="20"/>
        </w:rPr>
        <w:t>. 2d 429 (S.D.N.Y. 2002).</w:t>
      </w:r>
    </w:p>
  </w:footnote>
  <w:footnote w:id="7">
    <w:p w14:paraId="000000A5" w14:textId="77777777" w:rsidR="00FC13B3" w:rsidRDefault="00E0033E">
      <w:pPr>
        <w:spacing w:line="240" w:lineRule="auto"/>
        <w:rPr>
          <w:sz w:val="20"/>
          <w:szCs w:val="20"/>
        </w:rPr>
      </w:pPr>
      <w:r>
        <w:rPr>
          <w:vertAlign w:val="superscript"/>
        </w:rPr>
        <w:footnoteRef/>
      </w:r>
      <w:r>
        <w:rPr>
          <w:sz w:val="20"/>
          <w:szCs w:val="20"/>
        </w:rPr>
        <w:t xml:space="preserve"> </w:t>
      </w:r>
    </w:p>
  </w:footnote>
  <w:footnote w:id="8">
    <w:p w14:paraId="000000A6" w14:textId="77777777" w:rsidR="00FC13B3" w:rsidRDefault="00E0033E">
      <w:pPr>
        <w:spacing w:line="240" w:lineRule="auto"/>
        <w:rPr>
          <w:sz w:val="20"/>
          <w:szCs w:val="20"/>
        </w:rPr>
      </w:pPr>
      <w:r>
        <w:rPr>
          <w:vertAlign w:val="superscript"/>
        </w:rPr>
        <w:footnoteRef/>
      </w:r>
      <w:r>
        <w:rPr>
          <w:sz w:val="20"/>
          <w:szCs w:val="20"/>
        </w:rPr>
        <w:t xml:space="preserve"> </w:t>
      </w:r>
    </w:p>
  </w:footnote>
  <w:footnote w:id="9">
    <w:p w14:paraId="000000A7" w14:textId="77777777" w:rsidR="00FC13B3" w:rsidRDefault="00E0033E">
      <w:pPr>
        <w:spacing w:line="240" w:lineRule="auto"/>
        <w:rPr>
          <w:sz w:val="20"/>
          <w:szCs w:val="20"/>
        </w:rPr>
      </w:pPr>
      <w:r>
        <w:rPr>
          <w:vertAlign w:val="superscript"/>
        </w:rPr>
        <w:footnoteRef/>
      </w:r>
      <w:r>
        <w:rPr>
          <w:sz w:val="20"/>
          <w:szCs w:val="20"/>
        </w:rPr>
        <w:t xml:space="preserve"> </w:t>
      </w:r>
    </w:p>
  </w:footnote>
  <w:footnote w:id="10">
    <w:p w14:paraId="000000A8" w14:textId="77777777" w:rsidR="00FC13B3" w:rsidRDefault="00E0033E">
      <w:pPr>
        <w:spacing w:line="240" w:lineRule="auto"/>
        <w:rPr>
          <w:sz w:val="20"/>
          <w:szCs w:val="20"/>
        </w:rPr>
      </w:pPr>
      <w:r>
        <w:rPr>
          <w:vertAlign w:val="superscript"/>
        </w:rPr>
        <w:footnoteRef/>
      </w:r>
      <w:r>
        <w:rPr>
          <w:sz w:val="20"/>
          <w:szCs w:val="20"/>
        </w:rPr>
        <w:t xml:space="preserve"> </w:t>
      </w:r>
    </w:p>
  </w:footnote>
  <w:footnote w:id="11">
    <w:p w14:paraId="000000A9"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hyperlink r:id="rId1">
        <w:r>
          <w:rPr>
            <w:rFonts w:ascii="Times New Roman" w:eastAsia="Times New Roman" w:hAnsi="Times New Roman" w:cs="Times New Roman"/>
            <w:color w:val="1155CC"/>
            <w:sz w:val="20"/>
            <w:szCs w:val="20"/>
            <w:u w:val="single"/>
          </w:rPr>
          <w:t xml:space="preserve">The Loneliness of the "Social Distancer" Triggers Brain Cravings Akin to </w:t>
        </w:r>
        <w:r>
          <w:rPr>
            <w:rFonts w:ascii="Times New Roman" w:eastAsia="Times New Roman" w:hAnsi="Times New Roman" w:cs="Times New Roman"/>
            <w:color w:val="1155CC"/>
            <w:sz w:val="20"/>
            <w:szCs w:val="20"/>
            <w:u w:val="single"/>
          </w:rPr>
          <w:t>Hunger</w:t>
        </w:r>
      </w:hyperlink>
    </w:p>
  </w:footnote>
  <w:footnote w:id="12">
    <w:p w14:paraId="000000AA" w14:textId="77777777" w:rsidR="00FC13B3" w:rsidRDefault="00E0033E">
      <w:pPr>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Kelly v. Arriba Soft. Corp.</w:t>
      </w:r>
      <w:r>
        <w:rPr>
          <w:rFonts w:ascii="Times New Roman" w:eastAsia="Times New Roman" w:hAnsi="Times New Roman" w:cs="Times New Roman"/>
          <w:sz w:val="20"/>
          <w:szCs w:val="20"/>
        </w:rPr>
        <w:t>, 280 F.3d 934 (9th Cir. 2002).</w:t>
      </w:r>
    </w:p>
  </w:footnote>
  <w:footnote w:id="13">
    <w:p w14:paraId="000000AE" w14:textId="77777777" w:rsidR="00FC13B3" w:rsidRDefault="00E0033E">
      <w:pPr>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Goldman v. Breitbart News Network, LLC</w:t>
      </w:r>
      <w:r>
        <w:rPr>
          <w:rFonts w:ascii="Times New Roman" w:eastAsia="Times New Roman" w:hAnsi="Times New Roman" w:cs="Times New Roman"/>
          <w:sz w:val="20"/>
          <w:szCs w:val="20"/>
        </w:rPr>
        <w:t xml:space="preserve">, 302 </w:t>
      </w:r>
      <w:proofErr w:type="spellStart"/>
      <w:r>
        <w:rPr>
          <w:rFonts w:ascii="Times New Roman" w:eastAsia="Times New Roman" w:hAnsi="Times New Roman" w:cs="Times New Roman"/>
          <w:sz w:val="20"/>
          <w:szCs w:val="20"/>
        </w:rPr>
        <w:t>F.</w:t>
      </w:r>
      <w:r>
        <w:rPr>
          <w:rFonts w:ascii="Times New Roman" w:eastAsia="Times New Roman" w:hAnsi="Times New Roman" w:cs="Times New Roman"/>
          <w:sz w:val="20"/>
          <w:szCs w:val="20"/>
        </w:rPr>
        <w:t>Supp</w:t>
      </w:r>
      <w:proofErr w:type="spellEnd"/>
      <w:r>
        <w:rPr>
          <w:rFonts w:ascii="Times New Roman" w:eastAsia="Times New Roman" w:hAnsi="Times New Roman" w:cs="Times New Roman"/>
          <w:sz w:val="20"/>
          <w:szCs w:val="20"/>
        </w:rPr>
        <w:t xml:space="preserve">. 3d. 585 (S.D.N.Y. 2018) </w:t>
      </w:r>
    </w:p>
  </w:footnote>
  <w:footnote w:id="14">
    <w:p w14:paraId="000000AD"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hyperlink r:id="rId2">
        <w:r>
          <w:rPr>
            <w:rFonts w:ascii="Times New Roman" w:eastAsia="Times New Roman" w:hAnsi="Times New Roman" w:cs="Times New Roman"/>
            <w:color w:val="1155CC"/>
            <w:sz w:val="20"/>
            <w:szCs w:val="20"/>
            <w:u w:val="single"/>
          </w:rPr>
          <w:t xml:space="preserve">Pearson Education, Inc., et al v. </w:t>
        </w:r>
        <w:proofErr w:type="spellStart"/>
        <w:r>
          <w:rPr>
            <w:rFonts w:ascii="Times New Roman" w:eastAsia="Times New Roman" w:hAnsi="Times New Roman" w:cs="Times New Roman"/>
            <w:color w:val="1155CC"/>
            <w:sz w:val="20"/>
            <w:szCs w:val="20"/>
            <w:u w:val="single"/>
          </w:rPr>
          <w:t>Ishayev</w:t>
        </w:r>
        <w:proofErr w:type="spellEnd"/>
        <w:r>
          <w:rPr>
            <w:rFonts w:ascii="Times New Roman" w:eastAsia="Times New Roman" w:hAnsi="Times New Roman" w:cs="Times New Roman"/>
            <w:color w:val="1155CC"/>
            <w:sz w:val="20"/>
            <w:szCs w:val="20"/>
            <w:u w:val="single"/>
          </w:rPr>
          <w:t xml:space="preserve"> et al, No. 1:2011cv05052 - Document 73 (S.D.N.Y. 2013)</w:t>
        </w:r>
      </w:hyperlink>
    </w:p>
  </w:footnote>
  <w:footnote w:id="15">
    <w:p w14:paraId="000000AB" w14:textId="77777777" w:rsidR="00FC13B3" w:rsidRDefault="00E0033E">
      <w:pPr>
        <w:spacing w:line="240" w:lineRule="auto"/>
        <w:rPr>
          <w:rFonts w:ascii="Times New Roman" w:eastAsia="Times New Roman" w:hAnsi="Times New Roman" w:cs="Times New Roman"/>
          <w:i/>
          <w:sz w:val="20"/>
          <w:szCs w:val="20"/>
        </w:rPr>
      </w:pPr>
      <w:r>
        <w:rPr>
          <w:vertAlign w:val="superscript"/>
        </w:rPr>
        <w:footnoteRef/>
      </w:r>
      <w:r>
        <w:rPr>
          <w:rFonts w:ascii="Times New Roman" w:eastAsia="Times New Roman" w:hAnsi="Times New Roman" w:cs="Times New Roman"/>
          <w:i/>
          <w:sz w:val="20"/>
          <w:szCs w:val="20"/>
        </w:rPr>
        <w:t xml:space="preserve"> Id.</w:t>
      </w:r>
    </w:p>
  </w:footnote>
  <w:footnote w:id="16">
    <w:p w14:paraId="000000AF"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hyperlink r:id="rId3">
        <w:r>
          <w:rPr>
            <w:rFonts w:ascii="Times New Roman" w:eastAsia="Times New Roman" w:hAnsi="Times New Roman" w:cs="Times New Roman"/>
            <w:color w:val="1155CC"/>
            <w:sz w:val="20"/>
            <w:szCs w:val="20"/>
            <w:u w:val="single"/>
          </w:rPr>
          <w:t>https://scholarship.law.columbia.edu/cgi/viewcontent.cgi?article=3326&amp;context=faculty_scholarship</w:t>
        </w:r>
      </w:hyperlink>
    </w:p>
  </w:footnote>
  <w:footnote w:id="17">
    <w:p w14:paraId="000000AC"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hyperlink r:id="rId4">
        <w:r>
          <w:rPr>
            <w:rFonts w:ascii="Times New Roman" w:eastAsia="Times New Roman" w:hAnsi="Times New Roman" w:cs="Times New Roman"/>
            <w:color w:val="1155CC"/>
            <w:sz w:val="20"/>
            <w:szCs w:val="20"/>
            <w:u w:val="single"/>
          </w:rPr>
          <w:t>Embedded Posts - Social Plugins</w:t>
        </w:r>
      </w:hyperlink>
    </w:p>
  </w:footnote>
  <w:footnote w:id="18">
    <w:p w14:paraId="000000B0"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hyperlink r:id="rId5">
        <w:r>
          <w:rPr>
            <w:rFonts w:ascii="Times New Roman" w:eastAsia="Times New Roman" w:hAnsi="Times New Roman" w:cs="Times New Roman"/>
            <w:color w:val="1155CC"/>
            <w:sz w:val="20"/>
            <w:szCs w:val="20"/>
            <w:u w:val="single"/>
          </w:rPr>
          <w:t>Instagram photos disappear from Twitter feeds - CNET</w:t>
        </w:r>
      </w:hyperlink>
    </w:p>
  </w:footnote>
  <w:footnote w:id="19">
    <w:p w14:paraId="000000B1"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hyperlink r:id="rId6">
        <w:r>
          <w:rPr>
            <w:rFonts w:ascii="Times New Roman" w:eastAsia="Times New Roman" w:hAnsi="Times New Roman" w:cs="Times New Roman"/>
            <w:color w:val="1155CC"/>
            <w:sz w:val="20"/>
            <w:szCs w:val="20"/>
            <w:u w:val="single"/>
          </w:rPr>
          <w:t>Amazon, Apple, Facebook and Google Prepare for Their ‘Big Tobacco Moment’</w:t>
        </w:r>
      </w:hyperlink>
    </w:p>
  </w:footnote>
  <w:footnote w:id="20">
    <w:p w14:paraId="000000B2"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hyperlink r:id="rId7">
        <w:r>
          <w:rPr>
            <w:rFonts w:ascii="Times New Roman" w:eastAsia="Times New Roman" w:hAnsi="Times New Roman" w:cs="Times New Roman"/>
            <w:color w:val="1155CC"/>
            <w:sz w:val="20"/>
            <w:szCs w:val="20"/>
            <w:u w:val="single"/>
          </w:rPr>
          <w:t>Instagram Demographics That Matter to Social Media Marketers in 2020</w:t>
        </w:r>
      </w:hyperlink>
    </w:p>
  </w:footnote>
  <w:footnote w:id="21">
    <w:p w14:paraId="000000B3"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Feist v. Rural; 17 U.S.C. §106</w:t>
      </w:r>
    </w:p>
  </w:footnote>
  <w:footnote w:id="22">
    <w:p w14:paraId="000000B4"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i/>
          <w:sz w:val="20"/>
          <w:szCs w:val="20"/>
        </w:rPr>
        <w:t>Id</w:t>
      </w:r>
      <w:r>
        <w:rPr>
          <w:rFonts w:ascii="Times New Roman" w:eastAsia="Times New Roman" w:hAnsi="Times New Roman" w:cs="Times New Roman"/>
          <w:sz w:val="20"/>
          <w:szCs w:val="20"/>
        </w:rPr>
        <w:t xml:space="preserve">; 17 U.S.C. §106(5) </w:t>
      </w:r>
    </w:p>
  </w:footnote>
  <w:footnote w:id="23">
    <w:p w14:paraId="000000B5"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17 U.S.C. §101</w:t>
      </w:r>
    </w:p>
  </w:footnote>
  <w:footnote w:id="24">
    <w:p w14:paraId="000000B6"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Definition of “copy,” Cambridge Dictionary</w:t>
      </w:r>
    </w:p>
  </w:footnote>
  <w:footnote w:id="25">
    <w:p w14:paraId="000000B7"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17 U.S.C. §101</w:t>
      </w:r>
    </w:p>
  </w:footnote>
  <w:footnote w:id="26">
    <w:p w14:paraId="000000B8" w14:textId="77777777" w:rsidR="00FC13B3" w:rsidRDefault="00E0033E">
      <w:pPr>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 xml:space="preserve">Id. </w:t>
      </w:r>
      <w:r>
        <w:rPr>
          <w:rFonts w:ascii="Times New Roman" w:eastAsia="Times New Roman" w:hAnsi="Times New Roman" w:cs="Times New Roman"/>
          <w:sz w:val="20"/>
          <w:szCs w:val="20"/>
        </w:rPr>
        <w:t>(</w:t>
      </w:r>
      <w:r>
        <w:rPr>
          <w:rFonts w:ascii="Times New Roman" w:eastAsia="Times New Roman" w:hAnsi="Times New Roman" w:cs="Times New Roman"/>
        </w:rPr>
        <w:t>The term “copies” includes the material object in which the work is first fixed.)</w:t>
      </w:r>
    </w:p>
  </w:footnote>
  <w:footnote w:id="27">
    <w:p w14:paraId="000000C0" w14:textId="77777777" w:rsidR="00FC13B3" w:rsidRDefault="00E0033E">
      <w:pPr>
        <w:spacing w:line="240" w:lineRule="auto"/>
        <w:rPr>
          <w:sz w:val="20"/>
          <w:szCs w:val="20"/>
        </w:rPr>
      </w:pPr>
      <w:r>
        <w:rPr>
          <w:vertAlign w:val="superscript"/>
        </w:rPr>
        <w:footnoteRef/>
      </w:r>
      <w:r>
        <w:rPr>
          <w:sz w:val="20"/>
          <w:szCs w:val="20"/>
        </w:rPr>
        <w:t xml:space="preserve"> </w:t>
      </w:r>
    </w:p>
  </w:footnote>
  <w:footnote w:id="28">
    <w:p w14:paraId="000000C1"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T</w:t>
      </w:r>
      <w:hyperlink r:id="rId8">
        <w:r>
          <w:rPr>
            <w:rFonts w:ascii="Times New Roman" w:eastAsia="Times New Roman" w:hAnsi="Times New Roman" w:cs="Times New Roman"/>
            <w:color w:val="1155CC"/>
            <w:sz w:val="20"/>
            <w:szCs w:val="20"/>
            <w:u w:val="single"/>
          </w:rPr>
          <w:t>he making available right in the United States</w:t>
        </w:r>
      </w:hyperlink>
    </w:p>
  </w:footnote>
  <w:footnote w:id="29">
    <w:p w14:paraId="000000C2"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H.R. REP. NO. 105‐551, pt. 1, at 9 (1998); see also WIPO Copyright Treaties Implementation Act; and Online Copyright Liability Limitation Act: Hearing on H.R. 2281 and H.R. 2180 Before the </w:t>
      </w:r>
      <w:proofErr w:type="spellStart"/>
      <w:r>
        <w:rPr>
          <w:rFonts w:ascii="Times New Roman" w:eastAsia="Times New Roman" w:hAnsi="Times New Roman" w:cs="Times New Roman"/>
          <w:sz w:val="20"/>
          <w:szCs w:val="20"/>
        </w:rPr>
        <w:t>Subcomm</w:t>
      </w:r>
      <w:proofErr w:type="spellEnd"/>
      <w:r>
        <w:rPr>
          <w:rFonts w:ascii="Times New Roman" w:eastAsia="Times New Roman" w:hAnsi="Times New Roman" w:cs="Times New Roman"/>
          <w:sz w:val="20"/>
          <w:szCs w:val="20"/>
        </w:rPr>
        <w:t>. on Courts &amp; Intellectual Prop. of the H. Comm. on the Judi</w:t>
      </w:r>
      <w:r>
        <w:rPr>
          <w:rFonts w:ascii="Times New Roman" w:eastAsia="Times New Roman" w:hAnsi="Times New Roman" w:cs="Times New Roman"/>
          <w:sz w:val="20"/>
          <w:szCs w:val="20"/>
        </w:rPr>
        <w:t xml:space="preserve">ciary, 105th Cong. 27 (1997) (“Hearing on H.R. 2281 and H.R. 2180”) (statement of Rep. Howard Coble, Chairman, </w:t>
      </w:r>
      <w:proofErr w:type="spellStart"/>
      <w:r>
        <w:rPr>
          <w:rFonts w:ascii="Times New Roman" w:eastAsia="Times New Roman" w:hAnsi="Times New Roman" w:cs="Times New Roman"/>
          <w:sz w:val="20"/>
          <w:szCs w:val="20"/>
        </w:rPr>
        <w:t>Subcomm</w:t>
      </w:r>
      <w:proofErr w:type="spellEnd"/>
      <w:r>
        <w:rPr>
          <w:rFonts w:ascii="Times New Roman" w:eastAsia="Times New Roman" w:hAnsi="Times New Roman" w:cs="Times New Roman"/>
          <w:sz w:val="20"/>
          <w:szCs w:val="20"/>
        </w:rPr>
        <w:t>. on Courts &amp; Intellectual Prop.) (“The treaties do not require that the United States change the substance of our domestic copyright righ</w:t>
      </w:r>
      <w:r>
        <w:rPr>
          <w:rFonts w:ascii="Times New Roman" w:eastAsia="Times New Roman" w:hAnsi="Times New Roman" w:cs="Times New Roman"/>
          <w:sz w:val="20"/>
          <w:szCs w:val="20"/>
        </w:rPr>
        <w:t>ts or exceptions.”).</w:t>
      </w:r>
    </w:p>
  </w:footnote>
  <w:footnote w:id="30">
    <w:p w14:paraId="000000B9" w14:textId="77777777" w:rsidR="00FC13B3" w:rsidRDefault="00E0033E">
      <w:pPr>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The Rough Guide to the Internet 1999, Rough Guides: 4th ed. (Nov. 1, 1998).</w:t>
      </w:r>
      <w:r>
        <w:rPr>
          <w:sz w:val="20"/>
          <w:szCs w:val="20"/>
        </w:rPr>
        <w:t xml:space="preserve"> </w:t>
      </w:r>
    </w:p>
  </w:footnote>
  <w:footnote w:id="31">
    <w:p w14:paraId="000000BA" w14:textId="77777777" w:rsidR="00FC13B3" w:rsidRDefault="00E0033E">
      <w:pPr>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Although the district court found the defendant’s use to be a fair use, the analysis in </w:t>
      </w:r>
      <w:r>
        <w:rPr>
          <w:rFonts w:ascii="Times New Roman" w:eastAsia="Times New Roman" w:hAnsi="Times New Roman" w:cs="Times New Roman"/>
          <w:i/>
          <w:sz w:val="20"/>
          <w:szCs w:val="20"/>
        </w:rPr>
        <w:t>Kelly</w:t>
      </w:r>
      <w:r>
        <w:rPr>
          <w:rFonts w:ascii="Times New Roman" w:eastAsia="Times New Roman" w:hAnsi="Times New Roman" w:cs="Times New Roman"/>
          <w:sz w:val="20"/>
          <w:szCs w:val="20"/>
        </w:rPr>
        <w:t xml:space="preserve"> set the stage for a wave of </w:t>
      </w:r>
      <w:proofErr w:type="spellStart"/>
      <w:r>
        <w:rPr>
          <w:rFonts w:ascii="Times New Roman" w:eastAsia="Times New Roman" w:hAnsi="Times New Roman" w:cs="Times New Roman"/>
          <w:sz w:val="20"/>
          <w:szCs w:val="20"/>
        </w:rPr>
        <w:t>cases</w:t>
      </w:r>
      <w:proofErr w:type="spellEnd"/>
      <w:r>
        <w:rPr>
          <w:rFonts w:ascii="Times New Roman" w:eastAsia="Times New Roman" w:hAnsi="Times New Roman" w:cs="Times New Roman"/>
          <w:sz w:val="20"/>
          <w:szCs w:val="20"/>
        </w:rPr>
        <w:t xml:space="preserve"> related to search engines and “display” infringem</w:t>
      </w:r>
      <w:r>
        <w:rPr>
          <w:rFonts w:ascii="Times New Roman" w:eastAsia="Times New Roman" w:hAnsi="Times New Roman" w:cs="Times New Roman"/>
          <w:sz w:val="20"/>
          <w:szCs w:val="20"/>
        </w:rPr>
        <w:t xml:space="preserve">ent. </w:t>
      </w:r>
    </w:p>
  </w:footnote>
  <w:footnote w:id="32">
    <w:p w14:paraId="000000BB" w14:textId="77777777" w:rsidR="00FC13B3" w:rsidRDefault="00E0033E">
      <w:pPr>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The court did acknowledge in a footnote that the images were briefly stored on the defendant’s server.</w:t>
      </w:r>
    </w:p>
  </w:footnote>
  <w:footnote w:id="33">
    <w:p w14:paraId="000000BC"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Kelly v. Arriba Soft Corp., 280 F.3d 934 (9th Cir. 2002)</w:t>
      </w:r>
    </w:p>
  </w:footnote>
  <w:footnote w:id="34">
    <w:p w14:paraId="000000BD" w14:textId="77777777" w:rsidR="00FC13B3" w:rsidRDefault="00E0033E">
      <w:pPr>
        <w:spacing w:line="240" w:lineRule="auto"/>
        <w:rPr>
          <w:sz w:val="20"/>
          <w:szCs w:val="20"/>
        </w:rPr>
      </w:pPr>
      <w:r>
        <w:rPr>
          <w:vertAlign w:val="superscript"/>
        </w:rPr>
        <w:footnoteRef/>
      </w:r>
      <w:r>
        <w:rPr>
          <w:sz w:val="20"/>
          <w:szCs w:val="20"/>
        </w:rPr>
        <w:t xml:space="preserve"> </w:t>
      </w:r>
    </w:p>
  </w:footnote>
  <w:footnote w:id="35">
    <w:p w14:paraId="000000BE"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hyperlink r:id="rId9">
        <w:proofErr w:type="spellStart"/>
        <w:r>
          <w:rPr>
            <w:rFonts w:ascii="Times New Roman" w:eastAsia="Times New Roman" w:hAnsi="Times New Roman" w:cs="Times New Roman"/>
            <w:color w:val="145DA4"/>
            <w:sz w:val="20"/>
            <w:szCs w:val="20"/>
            <w:u w:val="single"/>
          </w:rPr>
          <w:t>H.R.Rep</w:t>
        </w:r>
        <w:proofErr w:type="spellEnd"/>
        <w:r>
          <w:rPr>
            <w:rFonts w:ascii="Times New Roman" w:eastAsia="Times New Roman" w:hAnsi="Times New Roman" w:cs="Times New Roman"/>
            <w:color w:val="145DA4"/>
            <w:sz w:val="20"/>
            <w:szCs w:val="20"/>
            <w:u w:val="single"/>
          </w:rPr>
          <w:t>. No. 94–1476, at 64–65 (1976)</w:t>
        </w:r>
      </w:hyperlink>
      <w:r>
        <w:rPr>
          <w:rFonts w:ascii="Times New Roman" w:eastAsia="Times New Roman" w:hAnsi="Times New Roman" w:cs="Times New Roman"/>
          <w:color w:val="252525"/>
          <w:sz w:val="20"/>
          <w:szCs w:val="20"/>
        </w:rPr>
        <w:t xml:space="preserve">, </w:t>
      </w:r>
      <w:r>
        <w:rPr>
          <w:rFonts w:ascii="Times New Roman" w:eastAsia="Times New Roman" w:hAnsi="Times New Roman" w:cs="Times New Roman"/>
          <w:i/>
          <w:color w:val="252525"/>
          <w:sz w:val="20"/>
          <w:szCs w:val="20"/>
        </w:rPr>
        <w:t>reprinted in</w:t>
      </w:r>
      <w:r>
        <w:rPr>
          <w:rFonts w:ascii="Times New Roman" w:eastAsia="Times New Roman" w:hAnsi="Times New Roman" w:cs="Times New Roman"/>
          <w:color w:val="252525"/>
          <w:sz w:val="20"/>
          <w:szCs w:val="20"/>
        </w:rPr>
        <w:t xml:space="preserve"> 1976 U.S.C.C</w:t>
      </w:r>
      <w:r>
        <w:rPr>
          <w:rFonts w:ascii="Times New Roman" w:eastAsia="Times New Roman" w:hAnsi="Times New Roman" w:cs="Times New Roman"/>
          <w:color w:val="252525"/>
          <w:sz w:val="20"/>
          <w:szCs w:val="20"/>
        </w:rPr>
        <w:t>.A.N. 5659, 5678.</w:t>
      </w:r>
    </w:p>
  </w:footnote>
  <w:footnote w:id="36">
    <w:p w14:paraId="000000BF"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Kelly v. Arriba Soft. Corp, 77 F.Supp.2d 1116 (1999) (“Where, as here, a new use and new technology are evolving, the broad transformative purpose of the use weighs more heavily than the inevitable flaws in its early stages of developme</w:t>
      </w:r>
      <w:r>
        <w:rPr>
          <w:rFonts w:ascii="Times New Roman" w:eastAsia="Times New Roman" w:hAnsi="Times New Roman" w:cs="Times New Roman"/>
          <w:sz w:val="20"/>
          <w:szCs w:val="20"/>
        </w:rPr>
        <w:t xml:space="preserve">nt.”) </w:t>
      </w:r>
    </w:p>
  </w:footnote>
  <w:footnote w:id="37">
    <w:p w14:paraId="000000F1"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17 U.S.C. §101</w:t>
      </w:r>
    </w:p>
  </w:footnote>
  <w:footnote w:id="38">
    <w:p w14:paraId="000000EF" w14:textId="77777777" w:rsidR="00FC13B3" w:rsidRDefault="00E0033E">
      <w:pPr>
        <w:spacing w:line="240" w:lineRule="auto"/>
        <w:rPr>
          <w:sz w:val="20"/>
          <w:szCs w:val="20"/>
        </w:rPr>
      </w:pPr>
      <w:r>
        <w:rPr>
          <w:vertAlign w:val="superscript"/>
        </w:rPr>
        <w:footnoteRef/>
      </w:r>
      <w:r>
        <w:rPr>
          <w:sz w:val="20"/>
          <w:szCs w:val="20"/>
        </w:rPr>
        <w:t xml:space="preserve"> </w:t>
      </w:r>
    </w:p>
  </w:footnote>
  <w:footnote w:id="39">
    <w:p w14:paraId="000000F0" w14:textId="77777777" w:rsidR="00FC13B3" w:rsidRDefault="00E0033E">
      <w:pPr>
        <w:spacing w:line="240" w:lineRule="auto"/>
        <w:rPr>
          <w:sz w:val="20"/>
          <w:szCs w:val="20"/>
        </w:rPr>
      </w:pPr>
      <w:r>
        <w:rPr>
          <w:vertAlign w:val="superscript"/>
        </w:rPr>
        <w:footnoteRef/>
      </w:r>
      <w:r>
        <w:rPr>
          <w:sz w:val="20"/>
          <w:szCs w:val="20"/>
        </w:rPr>
        <w:t xml:space="preserve"> </w:t>
      </w:r>
      <w:hyperlink r:id="rId10" w:anchor="gs.dah34w">
        <w:r>
          <w:rPr>
            <w:color w:val="1155CC"/>
            <w:sz w:val="20"/>
            <w:szCs w:val="20"/>
            <w:u w:val="single"/>
          </w:rPr>
          <w:t>https://cmo.adobe.com/articles/2016/9/adi-advertising-demand-report-na-2016.html#gs.dah34w</w:t>
        </w:r>
      </w:hyperlink>
      <w:r>
        <w:rPr>
          <w:sz w:val="20"/>
          <w:szCs w:val="20"/>
        </w:rPr>
        <w:t xml:space="preserve"> </w:t>
      </w:r>
    </w:p>
  </w:footnote>
  <w:footnote w:id="40">
    <w:p w14:paraId="000000C3" w14:textId="77777777" w:rsidR="00FC13B3" w:rsidRDefault="00E0033E">
      <w:pPr>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17 U.S.C. §101 (emphasis added). </w:t>
      </w:r>
      <w:r>
        <w:rPr>
          <w:rFonts w:ascii="Times New Roman" w:eastAsia="Times New Roman" w:hAnsi="Times New Roman" w:cs="Times New Roman"/>
        </w:rPr>
        <w:t xml:space="preserve">  </w:t>
      </w:r>
    </w:p>
  </w:footnote>
  <w:footnote w:id="41">
    <w:p w14:paraId="000000C5"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hyperlink r:id="rId11">
        <w:proofErr w:type="spellStart"/>
        <w:r>
          <w:rPr>
            <w:rFonts w:ascii="Times New Roman" w:eastAsia="Times New Roman" w:hAnsi="Times New Roman" w:cs="Times New Roman"/>
            <w:color w:val="1155CC"/>
            <w:sz w:val="20"/>
            <w:szCs w:val="20"/>
            <w:u w:val="single"/>
          </w:rPr>
          <w:t>Modernisation</w:t>
        </w:r>
        <w:proofErr w:type="spellEnd"/>
        <w:r>
          <w:rPr>
            <w:rFonts w:ascii="Times New Roman" w:eastAsia="Times New Roman" w:hAnsi="Times New Roman" w:cs="Times New Roman"/>
            <w:color w:val="1155CC"/>
            <w:sz w:val="20"/>
            <w:szCs w:val="20"/>
            <w:u w:val="single"/>
          </w:rPr>
          <w:t xml:space="preserve"> of the EU copyright rules | Shaping Europe's digital future</w:t>
        </w:r>
      </w:hyperlink>
    </w:p>
  </w:footnote>
  <w:footnote w:id="42">
    <w:p w14:paraId="000000CD"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Article 11 was renamed Article 15, and Article 13 was renamed Article 17 in the final draft.  </w:t>
      </w:r>
    </w:p>
  </w:footnote>
  <w:footnote w:id="43">
    <w:p w14:paraId="000000C6"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hyperlink r:id="rId12">
        <w:r>
          <w:rPr>
            <w:rFonts w:ascii="Times New Roman" w:eastAsia="Times New Roman" w:hAnsi="Times New Roman" w:cs="Times New Roman"/>
            <w:color w:val="1155CC"/>
            <w:sz w:val="20"/>
            <w:szCs w:val="20"/>
            <w:u w:val="single"/>
          </w:rPr>
          <w:t>After a brief rebellion, the EU link tax and upload filter will move to a final vote</w:t>
        </w:r>
      </w:hyperlink>
      <w:r>
        <w:rPr>
          <w:rFonts w:ascii="Times New Roman" w:eastAsia="Times New Roman" w:hAnsi="Times New Roman" w:cs="Times New Roman"/>
          <w:sz w:val="20"/>
          <w:szCs w:val="20"/>
        </w:rPr>
        <w:t xml:space="preserve"> </w:t>
      </w:r>
    </w:p>
  </w:footnote>
  <w:footnote w:id="44">
    <w:p w14:paraId="000000C4"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hyperlink r:id="rId13">
        <w:r>
          <w:rPr>
            <w:rFonts w:ascii="Times New Roman" w:eastAsia="Times New Roman" w:hAnsi="Times New Roman" w:cs="Times New Roman"/>
            <w:color w:val="1155CC"/>
            <w:sz w:val="20"/>
            <w:szCs w:val="20"/>
            <w:u w:val="single"/>
          </w:rPr>
          <w:t>The European Copyright Directive: What Is It, and Why Has I</w:t>
        </w:r>
        <w:r>
          <w:rPr>
            <w:rFonts w:ascii="Times New Roman" w:eastAsia="Times New Roman" w:hAnsi="Times New Roman" w:cs="Times New Roman"/>
            <w:color w:val="1155CC"/>
            <w:sz w:val="20"/>
            <w:szCs w:val="20"/>
            <w:u w:val="single"/>
          </w:rPr>
          <w:t xml:space="preserve">t Drawn More Controversy Than Any Other Directive </w:t>
        </w:r>
        <w:proofErr w:type="gramStart"/>
        <w:r>
          <w:rPr>
            <w:rFonts w:ascii="Times New Roman" w:eastAsia="Times New Roman" w:hAnsi="Times New Roman" w:cs="Times New Roman"/>
            <w:color w:val="1155CC"/>
            <w:sz w:val="20"/>
            <w:szCs w:val="20"/>
            <w:u w:val="single"/>
          </w:rPr>
          <w:t>In</w:t>
        </w:r>
        <w:proofErr w:type="gramEnd"/>
        <w:r>
          <w:rPr>
            <w:rFonts w:ascii="Times New Roman" w:eastAsia="Times New Roman" w:hAnsi="Times New Roman" w:cs="Times New Roman"/>
            <w:color w:val="1155CC"/>
            <w:sz w:val="20"/>
            <w:szCs w:val="20"/>
            <w:u w:val="single"/>
          </w:rPr>
          <w:t xml:space="preserve"> EU History?</w:t>
        </w:r>
      </w:hyperlink>
    </w:p>
  </w:footnote>
  <w:footnote w:id="45">
    <w:p w14:paraId="000000C7"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Davis v. Blige</w:t>
      </w:r>
      <w:r>
        <w:rPr>
          <w:rFonts w:ascii="Times New Roman" w:eastAsia="Times New Roman" w:hAnsi="Times New Roman" w:cs="Times New Roman"/>
          <w:sz w:val="20"/>
          <w:szCs w:val="20"/>
        </w:rPr>
        <w:t xml:space="preserve">, 505 F.3d 90, 100 (2d Cir. </w:t>
      </w:r>
      <w:r>
        <w:rPr>
          <w:rFonts w:ascii="Times New Roman" w:eastAsia="Times New Roman" w:hAnsi="Times New Roman" w:cs="Times New Roman"/>
          <w:sz w:val="20"/>
          <w:szCs w:val="20"/>
        </w:rPr>
        <w:t>2007)</w:t>
      </w:r>
    </w:p>
  </w:footnote>
  <w:footnote w:id="46">
    <w:p w14:paraId="000000CC"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Universal Instruments Corporation v. Micro Systems Engineering, Inc.</w:t>
      </w:r>
      <w:r>
        <w:rPr>
          <w:rFonts w:ascii="Times New Roman" w:eastAsia="Times New Roman" w:hAnsi="Times New Roman" w:cs="Times New Roman"/>
          <w:sz w:val="20"/>
          <w:szCs w:val="20"/>
        </w:rPr>
        <w:t>, 924 F.3d 32 (2d Cir. 2019)</w:t>
      </w:r>
    </w:p>
  </w:footnote>
  <w:footnote w:id="47">
    <w:p w14:paraId="000000D1"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 xml:space="preserve">Great Minds v. </w:t>
      </w:r>
      <w:proofErr w:type="spellStart"/>
      <w:r>
        <w:rPr>
          <w:rFonts w:ascii="Times New Roman" w:eastAsia="Times New Roman" w:hAnsi="Times New Roman" w:cs="Times New Roman"/>
          <w:i/>
          <w:sz w:val="20"/>
          <w:szCs w:val="20"/>
        </w:rPr>
        <w:t>Fedex</w:t>
      </w:r>
      <w:proofErr w:type="spellEnd"/>
      <w:r>
        <w:rPr>
          <w:rFonts w:ascii="Times New Roman" w:eastAsia="Times New Roman" w:hAnsi="Times New Roman" w:cs="Times New Roman"/>
          <w:i/>
          <w:sz w:val="20"/>
          <w:szCs w:val="20"/>
        </w:rPr>
        <w:t xml:space="preserve"> Office &amp; Print Servs., Inc.</w:t>
      </w:r>
      <w:r>
        <w:rPr>
          <w:rFonts w:ascii="Times New Roman" w:eastAsia="Times New Roman" w:hAnsi="Times New Roman" w:cs="Times New Roman"/>
          <w:sz w:val="20"/>
          <w:szCs w:val="20"/>
        </w:rPr>
        <w:t>, 886 F.3d 91, 94 (2d Cir. 2018)</w:t>
      </w:r>
      <w:r>
        <w:rPr>
          <w:rFonts w:ascii="Times New Roman" w:eastAsia="Times New Roman" w:hAnsi="Times New Roman" w:cs="Times New Roman"/>
          <w:color w:val="212121"/>
          <w:sz w:val="20"/>
          <w:szCs w:val="20"/>
        </w:rPr>
        <w:t xml:space="preserve"> </w:t>
      </w:r>
    </w:p>
  </w:footnote>
  <w:footnote w:id="48">
    <w:p w14:paraId="000000C8"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United States Naval Institute v. Charter Commc'ns, Inc.,</w:t>
      </w:r>
      <w:r>
        <w:rPr>
          <w:rFonts w:ascii="Times New Roman" w:eastAsia="Times New Roman" w:hAnsi="Times New Roman" w:cs="Times New Roman"/>
          <w:sz w:val="20"/>
          <w:szCs w:val="20"/>
        </w:rPr>
        <w:t xml:space="preserve"> 936 F.2d 692, 695 (2d Cir.1991)</w:t>
      </w:r>
      <w:r>
        <w:rPr>
          <w:rFonts w:ascii="Times New Roman" w:eastAsia="Times New Roman" w:hAnsi="Times New Roman" w:cs="Times New Roman"/>
          <w:color w:val="212121"/>
          <w:sz w:val="20"/>
          <w:szCs w:val="20"/>
        </w:rPr>
        <w:t xml:space="preserve"> </w:t>
      </w:r>
    </w:p>
  </w:footnote>
  <w:footnote w:id="49">
    <w:p w14:paraId="000000C9"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i/>
          <w:sz w:val="20"/>
          <w:szCs w:val="20"/>
        </w:rPr>
        <w:t>Tasini</w:t>
      </w:r>
      <w:proofErr w:type="spellEnd"/>
      <w:r>
        <w:rPr>
          <w:rFonts w:ascii="Times New Roman" w:eastAsia="Times New Roman" w:hAnsi="Times New Roman" w:cs="Times New Roman"/>
          <w:i/>
          <w:sz w:val="20"/>
          <w:szCs w:val="20"/>
        </w:rPr>
        <w:t xml:space="preserve"> v. N.Y. Times Co.</w:t>
      </w:r>
      <w:r>
        <w:rPr>
          <w:rFonts w:ascii="Times New Roman" w:eastAsia="Times New Roman" w:hAnsi="Times New Roman" w:cs="Times New Roman"/>
          <w:sz w:val="20"/>
          <w:szCs w:val="20"/>
        </w:rPr>
        <w:t>, 206 F.3d 161, 171 (2d Cir. 2000)</w:t>
      </w:r>
      <w:r>
        <w:rPr>
          <w:rFonts w:ascii="Times New Roman" w:eastAsia="Times New Roman" w:hAnsi="Times New Roman" w:cs="Times New Roman"/>
          <w:color w:val="212121"/>
          <w:sz w:val="20"/>
          <w:szCs w:val="20"/>
        </w:rPr>
        <w:t xml:space="preserve"> (quoting </w:t>
      </w:r>
      <w:r>
        <w:rPr>
          <w:rFonts w:ascii="Times New Roman" w:eastAsia="Times New Roman" w:hAnsi="Times New Roman" w:cs="Times New Roman"/>
          <w:i/>
          <w:color w:val="212121"/>
          <w:sz w:val="20"/>
          <w:szCs w:val="20"/>
        </w:rPr>
        <w:t>Bourne v. Walt Disney Co.</w:t>
      </w:r>
      <w:r>
        <w:rPr>
          <w:rFonts w:ascii="Times New Roman" w:eastAsia="Times New Roman" w:hAnsi="Times New Roman" w:cs="Times New Roman"/>
          <w:color w:val="212121"/>
          <w:sz w:val="20"/>
          <w:szCs w:val="20"/>
        </w:rPr>
        <w:t>, 68 F.3d 621, 631 (2d Cir. 1995)).</w:t>
      </w:r>
    </w:p>
  </w:footnote>
  <w:footnote w:id="50">
    <w:p w14:paraId="000000CA"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 xml:space="preserve">Greenfield v. </w:t>
      </w:r>
      <w:proofErr w:type="spellStart"/>
      <w:r>
        <w:rPr>
          <w:rFonts w:ascii="Times New Roman" w:eastAsia="Times New Roman" w:hAnsi="Times New Roman" w:cs="Times New Roman"/>
          <w:i/>
          <w:sz w:val="20"/>
          <w:szCs w:val="20"/>
        </w:rPr>
        <w:t>Philles</w:t>
      </w:r>
      <w:proofErr w:type="spellEnd"/>
      <w:r>
        <w:rPr>
          <w:rFonts w:ascii="Times New Roman" w:eastAsia="Times New Roman" w:hAnsi="Times New Roman" w:cs="Times New Roman"/>
          <w:i/>
          <w:sz w:val="20"/>
          <w:szCs w:val="20"/>
        </w:rPr>
        <w:t xml:space="preserve"> Records, Inc.</w:t>
      </w:r>
      <w:r>
        <w:rPr>
          <w:rFonts w:ascii="Times New Roman" w:eastAsia="Times New Roman" w:hAnsi="Times New Roman" w:cs="Times New Roman"/>
          <w:sz w:val="20"/>
          <w:szCs w:val="20"/>
        </w:rPr>
        <w:t>, 98 N.Y.2d 562, 569, 750 N.Y.S.2d 565, 780 N.E.2d 166 (2002)</w:t>
      </w:r>
      <w:r>
        <w:rPr>
          <w:rFonts w:ascii="Times New Roman" w:eastAsia="Times New Roman" w:hAnsi="Times New Roman" w:cs="Times New Roman"/>
          <w:color w:val="212121"/>
          <w:sz w:val="20"/>
          <w:szCs w:val="20"/>
        </w:rPr>
        <w:t xml:space="preserve"> (citing </w:t>
      </w:r>
      <w:r>
        <w:rPr>
          <w:rFonts w:ascii="Times New Roman" w:eastAsia="Times New Roman" w:hAnsi="Times New Roman" w:cs="Times New Roman"/>
          <w:i/>
          <w:color w:val="212121"/>
          <w:sz w:val="20"/>
          <w:szCs w:val="20"/>
        </w:rPr>
        <w:t>R/S Assocs. v. N.Y. Job Dev. Auth.</w:t>
      </w:r>
      <w:r>
        <w:rPr>
          <w:rFonts w:ascii="Times New Roman" w:eastAsia="Times New Roman" w:hAnsi="Times New Roman" w:cs="Times New Roman"/>
          <w:color w:val="212121"/>
          <w:sz w:val="20"/>
          <w:szCs w:val="20"/>
        </w:rPr>
        <w:t>, 98 N.Y.2d 29, 32, 744 N.Y.S.2d 358, 771 N.E.2d 240 (2002))</w:t>
      </w:r>
    </w:p>
  </w:footnote>
  <w:footnote w:id="51">
    <w:p w14:paraId="000000CB"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Bourne v. Walt Disney Co.</w:t>
      </w:r>
      <w:r>
        <w:rPr>
          <w:rFonts w:ascii="Times New Roman" w:eastAsia="Times New Roman" w:hAnsi="Times New Roman" w:cs="Times New Roman"/>
          <w:sz w:val="20"/>
          <w:szCs w:val="20"/>
        </w:rPr>
        <w:t>, 68 F.3d 621, 631 (2d Cir. 1</w:t>
      </w:r>
      <w:r>
        <w:rPr>
          <w:rFonts w:ascii="Times New Roman" w:eastAsia="Times New Roman" w:hAnsi="Times New Roman" w:cs="Times New Roman"/>
          <w:sz w:val="20"/>
          <w:szCs w:val="20"/>
        </w:rPr>
        <w:t>995)</w:t>
      </w:r>
    </w:p>
  </w:footnote>
  <w:footnote w:id="52">
    <w:p w14:paraId="000000CE"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SHL Imaging, Inc. v. Artisan House, Inc.,</w:t>
      </w:r>
      <w:r>
        <w:rPr>
          <w:rFonts w:ascii="Times New Roman" w:eastAsia="Times New Roman" w:hAnsi="Times New Roman" w:cs="Times New Roman"/>
          <w:sz w:val="20"/>
          <w:szCs w:val="20"/>
        </w:rPr>
        <w:t xml:space="preserve"> 117 F.Supp.</w:t>
      </w:r>
      <w:r>
        <w:rPr>
          <w:rFonts w:ascii="Times New Roman" w:eastAsia="Times New Roman" w:hAnsi="Times New Roman" w:cs="Times New Roman"/>
          <w:sz w:val="20"/>
          <w:szCs w:val="20"/>
        </w:rPr>
        <w:t>2d 301, 317 (S.D.N.Y.2000)</w:t>
      </w:r>
    </w:p>
  </w:footnote>
  <w:footnote w:id="53">
    <w:p w14:paraId="000000D0"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 xml:space="preserve">Jose Luis </w:t>
      </w:r>
      <w:proofErr w:type="spellStart"/>
      <w:r>
        <w:rPr>
          <w:rFonts w:ascii="Times New Roman" w:eastAsia="Times New Roman" w:hAnsi="Times New Roman" w:cs="Times New Roman"/>
          <w:i/>
          <w:sz w:val="20"/>
          <w:szCs w:val="20"/>
        </w:rPr>
        <w:t>Pelaez</w:t>
      </w:r>
      <w:proofErr w:type="spellEnd"/>
      <w:r>
        <w:rPr>
          <w:rFonts w:ascii="Times New Roman" w:eastAsia="Times New Roman" w:hAnsi="Times New Roman" w:cs="Times New Roman"/>
          <w:i/>
          <w:sz w:val="20"/>
          <w:szCs w:val="20"/>
        </w:rPr>
        <w:t>, Inc. v. McGraw Hill Global Education Holdings LLC</w:t>
      </w:r>
      <w:r>
        <w:rPr>
          <w:rFonts w:ascii="Times New Roman" w:eastAsia="Times New Roman" w:hAnsi="Times New Roman" w:cs="Times New Roman"/>
          <w:sz w:val="20"/>
          <w:szCs w:val="20"/>
        </w:rPr>
        <w:t>, 399 F.Supp.3d 120 (S.D.N.Y. 2019).</w:t>
      </w:r>
    </w:p>
  </w:footnote>
  <w:footnote w:id="54">
    <w:p w14:paraId="000000CF"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i/>
          <w:sz w:val="20"/>
          <w:szCs w:val="20"/>
        </w:rPr>
        <w:t>Korman</w:t>
      </w:r>
      <w:proofErr w:type="spellEnd"/>
      <w:r>
        <w:rPr>
          <w:rFonts w:ascii="Times New Roman" w:eastAsia="Times New Roman" w:hAnsi="Times New Roman" w:cs="Times New Roman"/>
          <w:i/>
          <w:sz w:val="20"/>
          <w:szCs w:val="20"/>
        </w:rPr>
        <w:t xml:space="preserve"> v. HBC Florida,</w:t>
      </w:r>
      <w:r>
        <w:rPr>
          <w:rFonts w:ascii="Times New Roman" w:eastAsia="Times New Roman" w:hAnsi="Times New Roman" w:cs="Times New Roman"/>
          <w:sz w:val="20"/>
          <w:szCs w:val="20"/>
        </w:rPr>
        <w:t xml:space="preserve"> 182 F.3d 1291, 1293 (11th Cir.1999)</w:t>
      </w:r>
    </w:p>
  </w:footnote>
  <w:footnote w:id="55">
    <w:p w14:paraId="000000D2"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Orchard Hill Master Fund Ltd. v. SBA Commc'ns Corp.</w:t>
      </w:r>
      <w:r>
        <w:rPr>
          <w:rFonts w:ascii="Times New Roman" w:eastAsia="Times New Roman" w:hAnsi="Times New Roman" w:cs="Times New Roman"/>
          <w:sz w:val="20"/>
          <w:szCs w:val="20"/>
        </w:rPr>
        <w:t>, 830 F.3d 152, 156–57 (2d Cir. 2016)</w:t>
      </w:r>
    </w:p>
  </w:footnote>
  <w:footnote w:id="56">
    <w:p w14:paraId="000000D3"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SmithKline Beecham Consumer Healthcare, L.P. v. Watson Pharm., Inc.,</w:t>
      </w:r>
      <w:r>
        <w:rPr>
          <w:rFonts w:ascii="Times New Roman" w:eastAsia="Times New Roman" w:hAnsi="Times New Roman" w:cs="Times New Roman"/>
          <w:sz w:val="20"/>
          <w:szCs w:val="20"/>
        </w:rPr>
        <w:t xml:space="preserve"> 211 F.3d 21,</w:t>
      </w:r>
      <w:r>
        <w:rPr>
          <w:rFonts w:ascii="Times New Roman" w:eastAsia="Times New Roman" w:hAnsi="Times New Roman" w:cs="Times New Roman"/>
          <w:sz w:val="20"/>
          <w:szCs w:val="20"/>
        </w:rPr>
        <w:t xml:space="preserve"> 25 (2d Cir.2000)</w:t>
      </w:r>
      <w:r>
        <w:rPr>
          <w:rFonts w:ascii="Times New Roman" w:eastAsia="Times New Roman" w:hAnsi="Times New Roman" w:cs="Times New Roman"/>
          <w:color w:val="212121"/>
          <w:sz w:val="20"/>
          <w:szCs w:val="20"/>
        </w:rPr>
        <w:t xml:space="preserve"> </w:t>
      </w:r>
    </w:p>
  </w:footnote>
  <w:footnote w:id="57">
    <w:p w14:paraId="000000D4"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hyperlink r:id="rId14">
        <w:r>
          <w:rPr>
            <w:rFonts w:ascii="Times New Roman" w:eastAsia="Times New Roman" w:hAnsi="Times New Roman" w:cs="Times New Roman"/>
            <w:color w:val="1155CC"/>
            <w:sz w:val="20"/>
            <w:szCs w:val="20"/>
            <w:u w:val="single"/>
          </w:rPr>
          <w:t>Flooding Creates a 10-Mile-Long Lake in Death Valley</w:t>
        </w:r>
      </w:hyperlink>
    </w:p>
  </w:footnote>
  <w:footnote w:id="58">
    <w:p w14:paraId="000000D5"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hyperlink r:id="rId15">
        <w:r>
          <w:rPr>
            <w:rFonts w:ascii="Times New Roman" w:eastAsia="Times New Roman" w:hAnsi="Times New Roman" w:cs="Times New Roman"/>
            <w:color w:val="1155CC"/>
            <w:sz w:val="20"/>
            <w:szCs w:val="20"/>
            <w:u w:val="single"/>
          </w:rPr>
          <w:t xml:space="preserve">Instagram’s Terms of Use </w:t>
        </w:r>
      </w:hyperlink>
    </w:p>
  </w:footnote>
  <w:footnote w:id="59">
    <w:p w14:paraId="000000D6" w14:textId="77777777" w:rsidR="00FC13B3" w:rsidRDefault="00E0033E">
      <w:pPr>
        <w:spacing w:line="240" w:lineRule="auto"/>
        <w:rPr>
          <w:sz w:val="20"/>
          <w:szCs w:val="20"/>
        </w:rPr>
      </w:pPr>
      <w:r>
        <w:rPr>
          <w:vertAlign w:val="superscript"/>
        </w:rPr>
        <w:footnoteRef/>
      </w:r>
      <w:r>
        <w:rPr>
          <w:sz w:val="20"/>
          <w:szCs w:val="20"/>
        </w:rPr>
        <w:t xml:space="preserve"> </w:t>
      </w:r>
    </w:p>
  </w:footnote>
  <w:footnote w:id="60">
    <w:p w14:paraId="000000D7"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hyperlink r:id="rId16">
        <w:r>
          <w:rPr>
            <w:rFonts w:ascii="Times New Roman" w:eastAsia="Times New Roman" w:hAnsi="Times New Roman" w:cs="Times New Roman"/>
            <w:color w:val="1155CC"/>
            <w:sz w:val="20"/>
            <w:szCs w:val="20"/>
            <w:u w:val="single"/>
          </w:rPr>
          <w:t>Instagram just threw users of its embedding API under the bus</w:t>
        </w:r>
      </w:hyperlink>
      <w:r>
        <w:rPr>
          <w:rFonts w:ascii="Times New Roman" w:eastAsia="Times New Roman" w:hAnsi="Times New Roman" w:cs="Times New Roman"/>
          <w:sz w:val="20"/>
          <w:szCs w:val="20"/>
        </w:rPr>
        <w:t xml:space="preserve"> </w:t>
      </w:r>
    </w:p>
  </w:footnote>
  <w:footnote w:id="61">
    <w:p w14:paraId="000000D8"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Ward v. TheLadders.com, Inc.</w:t>
      </w:r>
      <w:r>
        <w:rPr>
          <w:rFonts w:ascii="Times New Roman" w:eastAsia="Times New Roman" w:hAnsi="Times New Roman" w:cs="Times New Roman"/>
          <w:sz w:val="20"/>
          <w:szCs w:val="20"/>
        </w:rPr>
        <w:t xml:space="preserve">, 3 </w:t>
      </w:r>
      <w:proofErr w:type="spellStart"/>
      <w:r>
        <w:rPr>
          <w:rFonts w:ascii="Times New Roman" w:eastAsia="Times New Roman" w:hAnsi="Times New Roman" w:cs="Times New Roman"/>
          <w:sz w:val="20"/>
          <w:szCs w:val="20"/>
        </w:rPr>
        <w:t>F.Supp</w:t>
      </w:r>
      <w:proofErr w:type="spellEnd"/>
      <w:r>
        <w:rPr>
          <w:rFonts w:ascii="Times New Roman" w:eastAsia="Times New Roman" w:hAnsi="Times New Roman" w:cs="Times New Roman"/>
          <w:sz w:val="20"/>
          <w:szCs w:val="20"/>
        </w:rPr>
        <w:t>. 3d (S.D.N.Y 2014);</w:t>
      </w:r>
      <w:r>
        <w:rPr>
          <w:sz w:val="20"/>
          <w:szCs w:val="20"/>
        </w:rPr>
        <w:t xml:space="preserve"> </w:t>
      </w:r>
      <w:r>
        <w:rPr>
          <w:rFonts w:ascii="Times New Roman" w:eastAsia="Times New Roman" w:hAnsi="Times New Roman" w:cs="Times New Roman"/>
          <w:i/>
          <w:color w:val="212121"/>
          <w:sz w:val="20"/>
          <w:szCs w:val="20"/>
        </w:rPr>
        <w:t>Kenner v. Avis Rent A Car Sys., Inc.,</w:t>
      </w:r>
      <w:r>
        <w:rPr>
          <w:rFonts w:ascii="Times New Roman" w:eastAsia="Times New Roman" w:hAnsi="Times New Roman" w:cs="Times New Roman"/>
          <w:color w:val="212121"/>
          <w:sz w:val="20"/>
          <w:szCs w:val="20"/>
        </w:rPr>
        <w:t xml:space="preserve"> 254 A.D.2d 704, 678 N.Y.S.2d 213, 214 (1998) (q</w:t>
      </w:r>
      <w:r>
        <w:rPr>
          <w:rFonts w:ascii="Times New Roman" w:eastAsia="Times New Roman" w:hAnsi="Times New Roman" w:cs="Times New Roman"/>
          <w:color w:val="212121"/>
          <w:sz w:val="20"/>
          <w:szCs w:val="20"/>
        </w:rPr>
        <w:t xml:space="preserve">uoting </w:t>
      </w:r>
      <w:r>
        <w:rPr>
          <w:rFonts w:ascii="Times New Roman" w:eastAsia="Times New Roman" w:hAnsi="Times New Roman" w:cs="Times New Roman"/>
          <w:i/>
          <w:color w:val="212121"/>
          <w:sz w:val="20"/>
          <w:szCs w:val="20"/>
        </w:rPr>
        <w:t>In re Bd. of Comm'rs of Washington Park,</w:t>
      </w:r>
      <w:r>
        <w:rPr>
          <w:rFonts w:ascii="Times New Roman" w:eastAsia="Times New Roman" w:hAnsi="Times New Roman" w:cs="Times New Roman"/>
          <w:color w:val="212121"/>
          <w:sz w:val="20"/>
          <w:szCs w:val="20"/>
        </w:rPr>
        <w:t xml:space="preserve"> 7 </w:t>
      </w:r>
      <w:proofErr w:type="spellStart"/>
      <w:r>
        <w:rPr>
          <w:rFonts w:ascii="Times New Roman" w:eastAsia="Times New Roman" w:hAnsi="Times New Roman" w:cs="Times New Roman"/>
          <w:color w:val="212121"/>
          <w:sz w:val="20"/>
          <w:szCs w:val="20"/>
        </w:rPr>
        <w:t>Sickels</w:t>
      </w:r>
      <w:proofErr w:type="spellEnd"/>
      <w:r>
        <w:rPr>
          <w:rFonts w:ascii="Times New Roman" w:eastAsia="Times New Roman" w:hAnsi="Times New Roman" w:cs="Times New Roman"/>
          <w:color w:val="212121"/>
          <w:sz w:val="20"/>
          <w:szCs w:val="20"/>
        </w:rPr>
        <w:t xml:space="preserve"> (52 N.Y.) 131, 134 (1873))</w:t>
      </w:r>
    </w:p>
  </w:footnote>
  <w:footnote w:id="62">
    <w:p w14:paraId="000000D9"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Shark Info. Servs. Corp. v. Crum &amp; Forster Commercial Ins.,</w:t>
      </w:r>
      <w:r>
        <w:rPr>
          <w:rFonts w:ascii="Times New Roman" w:eastAsia="Times New Roman" w:hAnsi="Times New Roman" w:cs="Times New Roman"/>
          <w:sz w:val="20"/>
          <w:szCs w:val="20"/>
        </w:rPr>
        <w:t xml:space="preserve"> 222 A.D.2d 251, 634 N.Y.S.2d 700, 701 (1995)</w:t>
      </w:r>
      <w:r>
        <w:rPr>
          <w:rFonts w:ascii="Times New Roman" w:eastAsia="Times New Roman" w:hAnsi="Times New Roman" w:cs="Times New Roman"/>
          <w:color w:val="212121"/>
          <w:sz w:val="20"/>
          <w:szCs w:val="20"/>
        </w:rPr>
        <w:t xml:space="preserve">; </w:t>
      </w:r>
      <w:r>
        <w:rPr>
          <w:rFonts w:ascii="Times New Roman" w:eastAsia="Times New Roman" w:hAnsi="Times New Roman" w:cs="Times New Roman"/>
          <w:i/>
          <w:color w:val="212121"/>
          <w:sz w:val="20"/>
          <w:szCs w:val="20"/>
        </w:rPr>
        <w:t>see also Ryan, Beck &amp; Co., LLC. v. Fakih,</w:t>
      </w:r>
      <w:r>
        <w:rPr>
          <w:rFonts w:ascii="Times New Roman" w:eastAsia="Times New Roman" w:hAnsi="Times New Roman" w:cs="Times New Roman"/>
          <w:color w:val="212121"/>
          <w:sz w:val="20"/>
          <w:szCs w:val="20"/>
        </w:rPr>
        <w:t xml:space="preserve"> 268 F.Supp.2d 210, 22</w:t>
      </w:r>
      <w:r>
        <w:rPr>
          <w:rFonts w:ascii="Times New Roman" w:eastAsia="Times New Roman" w:hAnsi="Times New Roman" w:cs="Times New Roman"/>
          <w:color w:val="212121"/>
          <w:sz w:val="20"/>
          <w:szCs w:val="20"/>
        </w:rPr>
        <w:t>3 (E.D.N.Y.2003).</w:t>
      </w:r>
    </w:p>
  </w:footnote>
  <w:footnote w:id="63">
    <w:p w14:paraId="000000DA" w14:textId="77777777" w:rsidR="00FC13B3" w:rsidRDefault="00E0033E">
      <w:pPr>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Ward v. TheLadders.com, Inc.</w:t>
      </w:r>
      <w:r>
        <w:rPr>
          <w:rFonts w:ascii="Times New Roman" w:eastAsia="Times New Roman" w:hAnsi="Times New Roman" w:cs="Times New Roman"/>
          <w:sz w:val="20"/>
          <w:szCs w:val="20"/>
        </w:rPr>
        <w:t xml:space="preserve">, 3 </w:t>
      </w:r>
      <w:proofErr w:type="spellStart"/>
      <w:r>
        <w:rPr>
          <w:rFonts w:ascii="Times New Roman" w:eastAsia="Times New Roman" w:hAnsi="Times New Roman" w:cs="Times New Roman"/>
          <w:sz w:val="20"/>
          <w:szCs w:val="20"/>
        </w:rPr>
        <w:t>F.Supp</w:t>
      </w:r>
      <w:proofErr w:type="spellEnd"/>
      <w:r>
        <w:rPr>
          <w:rFonts w:ascii="Times New Roman" w:eastAsia="Times New Roman" w:hAnsi="Times New Roman" w:cs="Times New Roman"/>
          <w:sz w:val="20"/>
          <w:szCs w:val="20"/>
        </w:rPr>
        <w:t>. 3d (S.D.N.Y 2014)</w:t>
      </w:r>
    </w:p>
  </w:footnote>
  <w:footnote w:id="64">
    <w:p w14:paraId="000000DB" w14:textId="77777777" w:rsidR="00FC13B3" w:rsidRDefault="00E0033E">
      <w:pPr>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 xml:space="preserve">Jose Luis </w:t>
      </w:r>
      <w:proofErr w:type="spellStart"/>
      <w:r>
        <w:rPr>
          <w:rFonts w:ascii="Times New Roman" w:eastAsia="Times New Roman" w:hAnsi="Times New Roman" w:cs="Times New Roman"/>
          <w:i/>
          <w:sz w:val="20"/>
          <w:szCs w:val="20"/>
        </w:rPr>
        <w:t>Pelaez</w:t>
      </w:r>
      <w:proofErr w:type="spellEnd"/>
      <w:r>
        <w:rPr>
          <w:rFonts w:ascii="Times New Roman" w:eastAsia="Times New Roman" w:hAnsi="Times New Roman" w:cs="Times New Roman"/>
          <w:i/>
          <w:sz w:val="20"/>
          <w:szCs w:val="20"/>
        </w:rPr>
        <w:t>, Inc. v. McGraw Hill Global Education Holdings LLC</w:t>
      </w:r>
      <w:r>
        <w:rPr>
          <w:rFonts w:ascii="Times New Roman" w:eastAsia="Times New Roman" w:hAnsi="Times New Roman" w:cs="Times New Roman"/>
          <w:sz w:val="20"/>
          <w:szCs w:val="20"/>
        </w:rPr>
        <w:t>, 399 F.Supp.3d 120 (S.D.N.Y. 2019).</w:t>
      </w:r>
      <w:r>
        <w:rPr>
          <w:sz w:val="20"/>
          <w:szCs w:val="20"/>
        </w:rPr>
        <w:t xml:space="preserve"> </w:t>
      </w:r>
    </w:p>
  </w:footnote>
  <w:footnote w:id="65">
    <w:p w14:paraId="000000E3"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Photographic Illustrators Corporation v. Orgill, Inc.</w:t>
      </w:r>
      <w:r>
        <w:rPr>
          <w:rFonts w:ascii="Times New Roman" w:eastAsia="Times New Roman" w:hAnsi="Times New Roman" w:cs="Times New Roman"/>
          <w:sz w:val="20"/>
          <w:szCs w:val="20"/>
        </w:rPr>
        <w:t>, 953 F.3d 56 (1st Cir. 2020);</w:t>
      </w:r>
      <w:r>
        <w:rPr>
          <w:sz w:val="20"/>
          <w:szCs w:val="20"/>
        </w:rPr>
        <w:t xml:space="preserve"> </w:t>
      </w:r>
      <w:proofErr w:type="spellStart"/>
      <w:r>
        <w:rPr>
          <w:rFonts w:ascii="Times New Roman" w:eastAsia="Times New Roman" w:hAnsi="Times New Roman" w:cs="Times New Roman"/>
          <w:i/>
          <w:sz w:val="20"/>
          <w:szCs w:val="20"/>
        </w:rPr>
        <w:t>Foad</w:t>
      </w:r>
      <w:proofErr w:type="spellEnd"/>
      <w:r>
        <w:rPr>
          <w:rFonts w:ascii="Times New Roman" w:eastAsia="Times New Roman" w:hAnsi="Times New Roman" w:cs="Times New Roman"/>
          <w:i/>
          <w:sz w:val="20"/>
          <w:szCs w:val="20"/>
        </w:rPr>
        <w:t xml:space="preserve"> Con</w:t>
      </w:r>
      <w:r>
        <w:rPr>
          <w:rFonts w:ascii="Times New Roman" w:eastAsia="Times New Roman" w:hAnsi="Times New Roman" w:cs="Times New Roman"/>
          <w:i/>
          <w:sz w:val="20"/>
          <w:szCs w:val="20"/>
        </w:rPr>
        <w:t xml:space="preserve">sulting Grp., Inc. v. </w:t>
      </w:r>
      <w:proofErr w:type="spellStart"/>
      <w:r>
        <w:rPr>
          <w:rFonts w:ascii="Times New Roman" w:eastAsia="Times New Roman" w:hAnsi="Times New Roman" w:cs="Times New Roman"/>
          <w:i/>
          <w:sz w:val="20"/>
          <w:szCs w:val="20"/>
        </w:rPr>
        <w:t>Azzalino</w:t>
      </w:r>
      <w:proofErr w:type="spellEnd"/>
      <w:r>
        <w:rPr>
          <w:rFonts w:ascii="Times New Roman" w:eastAsia="Times New Roman" w:hAnsi="Times New Roman" w:cs="Times New Roman"/>
          <w:sz w:val="20"/>
          <w:szCs w:val="20"/>
        </w:rPr>
        <w:t>, 270 F.3d 821, 827 (9th Cir. 2001)</w:t>
      </w:r>
    </w:p>
  </w:footnote>
  <w:footnote w:id="66">
    <w:p w14:paraId="000000DC" w14:textId="77777777" w:rsidR="00FC13B3" w:rsidRDefault="00E0033E">
      <w:pPr>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 xml:space="preserve">Jose Luis </w:t>
      </w:r>
      <w:proofErr w:type="spellStart"/>
      <w:r>
        <w:rPr>
          <w:rFonts w:ascii="Times New Roman" w:eastAsia="Times New Roman" w:hAnsi="Times New Roman" w:cs="Times New Roman"/>
          <w:i/>
          <w:sz w:val="20"/>
          <w:szCs w:val="20"/>
        </w:rPr>
        <w:t>Pelaez</w:t>
      </w:r>
      <w:proofErr w:type="spellEnd"/>
      <w:r>
        <w:rPr>
          <w:rFonts w:ascii="Times New Roman" w:eastAsia="Times New Roman" w:hAnsi="Times New Roman" w:cs="Times New Roman"/>
          <w:i/>
          <w:sz w:val="20"/>
          <w:szCs w:val="20"/>
        </w:rPr>
        <w:t>, Inc. v. McGraw Hill Global Education Holdings LLC</w:t>
      </w:r>
      <w:r>
        <w:rPr>
          <w:rFonts w:ascii="Times New Roman" w:eastAsia="Times New Roman" w:hAnsi="Times New Roman" w:cs="Times New Roman"/>
          <w:sz w:val="20"/>
          <w:szCs w:val="20"/>
        </w:rPr>
        <w:t>, 399 F.Supp.3d 120 (S.D.N.Y. 2019).</w:t>
      </w:r>
      <w:r>
        <w:rPr>
          <w:sz w:val="20"/>
          <w:szCs w:val="20"/>
        </w:rPr>
        <w:t xml:space="preserve"> </w:t>
      </w:r>
    </w:p>
  </w:footnote>
  <w:footnote w:id="67">
    <w:p w14:paraId="000000DD"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i/>
          <w:sz w:val="20"/>
          <w:szCs w:val="20"/>
        </w:rPr>
        <w:t>Psihoyos</w:t>
      </w:r>
      <w:proofErr w:type="spellEnd"/>
      <w:r>
        <w:rPr>
          <w:rFonts w:ascii="Times New Roman" w:eastAsia="Times New Roman" w:hAnsi="Times New Roman" w:cs="Times New Roman"/>
          <w:i/>
          <w:sz w:val="20"/>
          <w:szCs w:val="20"/>
        </w:rPr>
        <w:t xml:space="preserve"> v. Pearson Educ., Inc.</w:t>
      </w:r>
      <w:r>
        <w:rPr>
          <w:rFonts w:ascii="Times New Roman" w:eastAsia="Times New Roman" w:hAnsi="Times New Roman" w:cs="Times New Roman"/>
          <w:sz w:val="20"/>
          <w:szCs w:val="20"/>
        </w:rPr>
        <w:t>, 855 F. Supp. 2d 103, 119–124 (S.D.N.Y. 2012)</w:t>
      </w:r>
      <w:r>
        <w:rPr>
          <w:rFonts w:ascii="Times New Roman" w:eastAsia="Times New Roman" w:hAnsi="Times New Roman" w:cs="Times New Roman"/>
          <w:color w:val="212121"/>
          <w:sz w:val="20"/>
          <w:szCs w:val="20"/>
        </w:rPr>
        <w:t xml:space="preserve"> </w:t>
      </w:r>
    </w:p>
  </w:footnote>
  <w:footnote w:id="68">
    <w:p w14:paraId="000000DE"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color w:val="212121"/>
          <w:sz w:val="21"/>
          <w:szCs w:val="21"/>
        </w:rPr>
        <w:t xml:space="preserve"> </w:t>
      </w:r>
      <w:r>
        <w:rPr>
          <w:rFonts w:ascii="Times New Roman" w:eastAsia="Times New Roman" w:hAnsi="Times New Roman" w:cs="Times New Roman"/>
          <w:i/>
          <w:color w:val="212121"/>
          <w:sz w:val="20"/>
          <w:szCs w:val="20"/>
        </w:rPr>
        <w:t xml:space="preserve">Design Options, Inc. v. </w:t>
      </w:r>
      <w:proofErr w:type="spellStart"/>
      <w:r>
        <w:rPr>
          <w:rFonts w:ascii="Times New Roman" w:eastAsia="Times New Roman" w:hAnsi="Times New Roman" w:cs="Times New Roman"/>
          <w:i/>
          <w:color w:val="212121"/>
          <w:sz w:val="20"/>
          <w:szCs w:val="20"/>
        </w:rPr>
        <w:t>BellePointe</w:t>
      </w:r>
      <w:proofErr w:type="spellEnd"/>
      <w:r>
        <w:rPr>
          <w:rFonts w:ascii="Times New Roman" w:eastAsia="Times New Roman" w:hAnsi="Times New Roman" w:cs="Times New Roman"/>
          <w:i/>
          <w:color w:val="212121"/>
          <w:sz w:val="20"/>
          <w:szCs w:val="20"/>
        </w:rPr>
        <w:t>, Inc.</w:t>
      </w:r>
      <w:r>
        <w:rPr>
          <w:rFonts w:ascii="Times New Roman" w:eastAsia="Times New Roman" w:hAnsi="Times New Roman" w:cs="Times New Roman"/>
          <w:color w:val="212121"/>
          <w:sz w:val="20"/>
          <w:szCs w:val="20"/>
        </w:rPr>
        <w:t>, 940 F. Supp. 86, 92 (S.D</w:t>
      </w:r>
      <w:r>
        <w:rPr>
          <w:rFonts w:ascii="Times New Roman" w:eastAsia="Times New Roman" w:hAnsi="Times New Roman" w:cs="Times New Roman"/>
          <w:color w:val="212121"/>
          <w:sz w:val="20"/>
          <w:szCs w:val="20"/>
        </w:rPr>
        <w:t xml:space="preserve">.N.Y. 1996) </w:t>
      </w:r>
    </w:p>
  </w:footnote>
  <w:footnote w:id="69">
    <w:p w14:paraId="000000DF"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i/>
          <w:sz w:val="20"/>
          <w:szCs w:val="20"/>
        </w:rPr>
        <w:t>Psihoyos</w:t>
      </w:r>
      <w:proofErr w:type="spellEnd"/>
      <w:r>
        <w:rPr>
          <w:rFonts w:ascii="Times New Roman" w:eastAsia="Times New Roman" w:hAnsi="Times New Roman" w:cs="Times New Roman"/>
          <w:i/>
          <w:sz w:val="20"/>
          <w:szCs w:val="20"/>
        </w:rPr>
        <w:t xml:space="preserve"> v. Pearson Educ., Inc.</w:t>
      </w:r>
      <w:r>
        <w:rPr>
          <w:rFonts w:ascii="Times New Roman" w:eastAsia="Times New Roman" w:hAnsi="Times New Roman" w:cs="Times New Roman"/>
          <w:sz w:val="20"/>
          <w:szCs w:val="20"/>
        </w:rPr>
        <w:t>, 855 F. Supp. 2d 103 (S.D.N.Y. 2012)</w:t>
      </w:r>
    </w:p>
  </w:footnote>
  <w:footnote w:id="70">
    <w:p w14:paraId="000000E1"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Falc</w:t>
      </w:r>
      <w:r>
        <w:rPr>
          <w:rFonts w:ascii="Times New Roman" w:eastAsia="Times New Roman" w:hAnsi="Times New Roman" w:cs="Times New Roman"/>
          <w:i/>
          <w:sz w:val="20"/>
          <w:szCs w:val="20"/>
        </w:rPr>
        <w:t>on Enterprises, Inc. v. Publishers Service, Inc.</w:t>
      </w:r>
      <w:r>
        <w:rPr>
          <w:rFonts w:ascii="Times New Roman" w:eastAsia="Times New Roman" w:hAnsi="Times New Roman" w:cs="Times New Roman"/>
          <w:sz w:val="20"/>
          <w:szCs w:val="20"/>
        </w:rPr>
        <w:t xml:space="preserve">, 438 </w:t>
      </w:r>
      <w:proofErr w:type="spellStart"/>
      <w:r>
        <w:rPr>
          <w:rFonts w:ascii="Times New Roman" w:eastAsia="Times New Roman" w:hAnsi="Times New Roman" w:cs="Times New Roman"/>
          <w:sz w:val="20"/>
          <w:szCs w:val="20"/>
        </w:rPr>
        <w:t>Fed.Appx</w:t>
      </w:r>
      <w:proofErr w:type="spellEnd"/>
      <w:r>
        <w:rPr>
          <w:rFonts w:ascii="Times New Roman" w:eastAsia="Times New Roman" w:hAnsi="Times New Roman" w:cs="Times New Roman"/>
          <w:sz w:val="20"/>
          <w:szCs w:val="20"/>
        </w:rPr>
        <w:t xml:space="preserve">. 579 (9th Cir. 2011). </w:t>
      </w:r>
    </w:p>
  </w:footnote>
  <w:footnote w:id="71">
    <w:p w14:paraId="000000E0"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hyperlink r:id="rId17">
        <w:r>
          <w:rPr>
            <w:rFonts w:ascii="Times New Roman" w:eastAsia="Times New Roman" w:hAnsi="Times New Roman" w:cs="Times New Roman"/>
            <w:color w:val="1155CC"/>
            <w:sz w:val="20"/>
            <w:szCs w:val="20"/>
            <w:u w:val="single"/>
          </w:rPr>
          <w:t>Platform Policy</w:t>
        </w:r>
      </w:hyperlink>
    </w:p>
  </w:footnote>
  <w:footnote w:id="72">
    <w:p w14:paraId="000000E2"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Keane Dealer Servs., Inc. v. Harts</w:t>
      </w:r>
      <w:r>
        <w:rPr>
          <w:rFonts w:ascii="Times New Roman" w:eastAsia="Times New Roman" w:hAnsi="Times New Roman" w:cs="Times New Roman"/>
          <w:sz w:val="20"/>
          <w:szCs w:val="20"/>
        </w:rPr>
        <w:t>, 968 F. Supp. 944, 947 (S.D.N.Y. 1997)</w:t>
      </w:r>
    </w:p>
  </w:footnote>
  <w:footnote w:id="73">
    <w:p w14:paraId="000000E4"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color w:val="212121"/>
          <w:sz w:val="21"/>
          <w:szCs w:val="21"/>
        </w:rPr>
        <w:t xml:space="preserve"> </w:t>
      </w:r>
      <w:r>
        <w:rPr>
          <w:rFonts w:ascii="Times New Roman" w:eastAsia="Times New Roman" w:hAnsi="Times New Roman" w:cs="Times New Roman"/>
          <w:i/>
          <w:color w:val="212121"/>
          <w:sz w:val="20"/>
          <w:szCs w:val="20"/>
        </w:rPr>
        <w:t>Ward v. Nat'l Geographic Soc.</w:t>
      </w:r>
      <w:r>
        <w:rPr>
          <w:rFonts w:ascii="Times New Roman" w:eastAsia="Times New Roman" w:hAnsi="Times New Roman" w:cs="Times New Roman"/>
          <w:color w:val="212121"/>
          <w:sz w:val="20"/>
          <w:szCs w:val="20"/>
        </w:rPr>
        <w:t>, 208 F. Supp. 2d 429, 442–43 (S.D.N.Y. 2002)</w:t>
      </w:r>
    </w:p>
  </w:footnote>
  <w:footnote w:id="74">
    <w:p w14:paraId="000000E6"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i/>
          <w:sz w:val="20"/>
          <w:szCs w:val="20"/>
        </w:rPr>
        <w:t>Berkson</w:t>
      </w:r>
      <w:proofErr w:type="spellEnd"/>
      <w:r>
        <w:rPr>
          <w:rFonts w:ascii="Times New Roman" w:eastAsia="Times New Roman" w:hAnsi="Times New Roman" w:cs="Times New Roman"/>
          <w:i/>
          <w:sz w:val="20"/>
          <w:szCs w:val="20"/>
        </w:rPr>
        <w:t xml:space="preserve"> v. </w:t>
      </w:r>
      <w:proofErr w:type="spellStart"/>
      <w:r>
        <w:rPr>
          <w:rFonts w:ascii="Times New Roman" w:eastAsia="Times New Roman" w:hAnsi="Times New Roman" w:cs="Times New Roman"/>
          <w:i/>
          <w:sz w:val="20"/>
          <w:szCs w:val="20"/>
        </w:rPr>
        <w:t>Gogo</w:t>
      </w:r>
      <w:proofErr w:type="spellEnd"/>
      <w:r>
        <w:rPr>
          <w:rFonts w:ascii="Times New Roman" w:eastAsia="Times New Roman" w:hAnsi="Times New Roman" w:cs="Times New Roman"/>
          <w:i/>
          <w:sz w:val="20"/>
          <w:szCs w:val="20"/>
        </w:rPr>
        <w:t xml:space="preserve"> LLC,</w:t>
      </w:r>
      <w:r>
        <w:rPr>
          <w:rFonts w:ascii="Times New Roman" w:eastAsia="Times New Roman" w:hAnsi="Times New Roman" w:cs="Times New Roman"/>
          <w:sz w:val="20"/>
          <w:szCs w:val="20"/>
        </w:rPr>
        <w:t xml:space="preserve"> 97 F.Supp.3d 359 (E.D.N.Y 2015)</w:t>
      </w:r>
    </w:p>
  </w:footnote>
  <w:footnote w:id="75">
    <w:p w14:paraId="000000E7" w14:textId="77777777" w:rsidR="00FC13B3" w:rsidRDefault="00E0033E">
      <w:pPr>
        <w:spacing w:line="240" w:lineRule="auto"/>
        <w:rPr>
          <w:i/>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Id</w:t>
      </w:r>
      <w:r>
        <w:rPr>
          <w:i/>
          <w:sz w:val="20"/>
          <w:szCs w:val="20"/>
        </w:rPr>
        <w:t xml:space="preserve">. </w:t>
      </w:r>
    </w:p>
  </w:footnote>
  <w:footnote w:id="76">
    <w:p w14:paraId="000000E5"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hyperlink r:id="rId18">
        <w:r>
          <w:rPr>
            <w:rFonts w:ascii="Times New Roman" w:eastAsia="Times New Roman" w:hAnsi="Times New Roman" w:cs="Times New Roman"/>
            <w:color w:val="1155CC"/>
            <w:sz w:val="20"/>
            <w:szCs w:val="20"/>
            <w:u w:val="single"/>
          </w:rPr>
          <w:t xml:space="preserve">Adhesion Contract (Contract of Adhesion) | </w:t>
        </w:r>
        <w:proofErr w:type="spellStart"/>
        <w:r>
          <w:rPr>
            <w:rFonts w:ascii="Times New Roman" w:eastAsia="Times New Roman" w:hAnsi="Times New Roman" w:cs="Times New Roman"/>
            <w:color w:val="1155CC"/>
            <w:sz w:val="20"/>
            <w:szCs w:val="20"/>
            <w:u w:val="single"/>
          </w:rPr>
          <w:t>Wex</w:t>
        </w:r>
        <w:proofErr w:type="spellEnd"/>
        <w:r>
          <w:rPr>
            <w:rFonts w:ascii="Times New Roman" w:eastAsia="Times New Roman" w:hAnsi="Times New Roman" w:cs="Times New Roman"/>
            <w:color w:val="1155CC"/>
            <w:sz w:val="20"/>
            <w:szCs w:val="20"/>
            <w:u w:val="single"/>
          </w:rPr>
          <w:t xml:space="preserve"> | US Law | LII / Legal</w:t>
        </w:r>
      </w:hyperlink>
    </w:p>
  </w:footnote>
  <w:footnote w:id="77">
    <w:p w14:paraId="000000E8"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Nat'l Family Ins. Co. v. Exch. N</w:t>
      </w:r>
      <w:r>
        <w:rPr>
          <w:rFonts w:ascii="Times New Roman" w:eastAsia="Times New Roman" w:hAnsi="Times New Roman" w:cs="Times New Roman"/>
          <w:i/>
          <w:sz w:val="20"/>
          <w:szCs w:val="20"/>
        </w:rPr>
        <w:t>at. Bank of Chicago,</w:t>
      </w:r>
      <w:r>
        <w:rPr>
          <w:rFonts w:ascii="Times New Roman" w:eastAsia="Times New Roman" w:hAnsi="Times New Roman" w:cs="Times New Roman"/>
          <w:sz w:val="20"/>
          <w:szCs w:val="20"/>
        </w:rPr>
        <w:t xml:space="preserve"> 474 F.2d 237, 242 n. 1 (7th Cir.1973)</w:t>
      </w:r>
      <w:r>
        <w:rPr>
          <w:rFonts w:ascii="Times New Roman" w:eastAsia="Times New Roman" w:hAnsi="Times New Roman" w:cs="Times New Roman"/>
          <w:color w:val="212121"/>
          <w:sz w:val="20"/>
          <w:szCs w:val="20"/>
        </w:rPr>
        <w:t xml:space="preserve"> </w:t>
      </w:r>
    </w:p>
  </w:footnote>
  <w:footnote w:id="78">
    <w:p w14:paraId="000000E9"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Hirsch v. Citibank, N.A.,</w:t>
      </w:r>
      <w:r>
        <w:rPr>
          <w:rFonts w:ascii="Times New Roman" w:eastAsia="Times New Roman" w:hAnsi="Times New Roman" w:cs="Times New Roman"/>
          <w:sz w:val="20"/>
          <w:szCs w:val="20"/>
        </w:rPr>
        <w:t xml:space="preserve"> 542 </w:t>
      </w:r>
      <w:proofErr w:type="spellStart"/>
      <w:r>
        <w:rPr>
          <w:rFonts w:ascii="Times New Roman" w:eastAsia="Times New Roman" w:hAnsi="Times New Roman" w:cs="Times New Roman"/>
          <w:sz w:val="20"/>
          <w:szCs w:val="20"/>
        </w:rPr>
        <w:t>Fed.Appx</w:t>
      </w:r>
      <w:proofErr w:type="spellEnd"/>
      <w:r>
        <w:rPr>
          <w:rFonts w:ascii="Times New Roman" w:eastAsia="Times New Roman" w:hAnsi="Times New Roman" w:cs="Times New Roman"/>
          <w:sz w:val="20"/>
          <w:szCs w:val="20"/>
        </w:rPr>
        <w:t>. 35, 37 (2d Cir.2013)</w:t>
      </w:r>
      <w:r>
        <w:rPr>
          <w:rFonts w:ascii="Times New Roman" w:eastAsia="Times New Roman" w:hAnsi="Times New Roman" w:cs="Times New Roman"/>
          <w:color w:val="212121"/>
          <w:sz w:val="20"/>
          <w:szCs w:val="20"/>
        </w:rPr>
        <w:t xml:space="preserve"> </w:t>
      </w:r>
    </w:p>
  </w:footnote>
  <w:footnote w:id="79">
    <w:p w14:paraId="000000EA" w14:textId="77777777" w:rsidR="00FC13B3" w:rsidRDefault="00E0033E">
      <w:pPr>
        <w:spacing w:line="240" w:lineRule="auto"/>
        <w:rPr>
          <w:rFonts w:ascii="Times New Roman" w:eastAsia="Times New Roman" w:hAnsi="Times New Roman" w:cs="Times New Roman"/>
          <w:i/>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 xml:space="preserve">Id. </w:t>
      </w:r>
    </w:p>
  </w:footnote>
  <w:footnote w:id="80">
    <w:p w14:paraId="000000EB"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Swatch Grp. Mgmt. Servs. Ltd. v. Bloomberg L.P.</w:t>
      </w:r>
      <w:r>
        <w:rPr>
          <w:rFonts w:ascii="Times New Roman" w:eastAsia="Times New Roman" w:hAnsi="Times New Roman" w:cs="Times New Roman"/>
          <w:sz w:val="20"/>
          <w:szCs w:val="20"/>
        </w:rPr>
        <w:t>, 756 F.3d 73, 84 (2d Cir.2014)</w:t>
      </w:r>
      <w:r>
        <w:rPr>
          <w:rFonts w:ascii="Times New Roman" w:eastAsia="Times New Roman" w:hAnsi="Times New Roman" w:cs="Times New Roman"/>
          <w:i/>
          <w:sz w:val="20"/>
          <w:szCs w:val="20"/>
        </w:rPr>
        <w:t>; BWP Media USA v. Gossip Cop Media, Inc.</w:t>
      </w:r>
      <w:r>
        <w:rPr>
          <w:rFonts w:ascii="Times New Roman" w:eastAsia="Times New Roman" w:hAnsi="Times New Roman" w:cs="Times New Roman"/>
          <w:sz w:val="20"/>
          <w:szCs w:val="20"/>
        </w:rPr>
        <w:t xml:space="preserve">, 196 </w:t>
      </w:r>
      <w:proofErr w:type="spellStart"/>
      <w:r>
        <w:rPr>
          <w:rFonts w:ascii="Times New Roman" w:eastAsia="Times New Roman" w:hAnsi="Times New Roman" w:cs="Times New Roman"/>
          <w:sz w:val="20"/>
          <w:szCs w:val="20"/>
        </w:rPr>
        <w:t>F.Supp</w:t>
      </w:r>
      <w:proofErr w:type="spellEnd"/>
      <w:r>
        <w:rPr>
          <w:rFonts w:ascii="Times New Roman" w:eastAsia="Times New Roman" w:hAnsi="Times New Roman" w:cs="Times New Roman"/>
          <w:sz w:val="20"/>
          <w:szCs w:val="20"/>
        </w:rPr>
        <w:t xml:space="preserve">. 3d 395 (S.D.N.Y. 2016). </w:t>
      </w:r>
    </w:p>
  </w:footnote>
  <w:footnote w:id="81">
    <w:p w14:paraId="000000EC" w14:textId="77777777" w:rsidR="00FC13B3" w:rsidRDefault="00E0033E">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17 U.S.C. </w:t>
      </w:r>
      <w:r>
        <w:rPr>
          <w:rFonts w:ascii="Times New Roman" w:eastAsia="Times New Roman" w:hAnsi="Times New Roman" w:cs="Times New Roman"/>
        </w:rPr>
        <w:t>§ 512</w:t>
      </w:r>
    </w:p>
  </w:footnote>
  <w:footnote w:id="82">
    <w:p w14:paraId="000000ED" w14:textId="77777777" w:rsidR="00FC13B3" w:rsidRDefault="00E0033E">
      <w:pPr>
        <w:spacing w:line="240" w:lineRule="auto"/>
        <w:rPr>
          <w:i/>
          <w:sz w:val="20"/>
          <w:szCs w:val="20"/>
        </w:rPr>
      </w:pPr>
      <w:r>
        <w:rPr>
          <w:vertAlign w:val="superscript"/>
        </w:rPr>
        <w:footnoteRef/>
      </w:r>
      <w:r>
        <w:rPr>
          <w:sz w:val="20"/>
          <w:szCs w:val="20"/>
        </w:rPr>
        <w:t xml:space="preserve"> </w:t>
      </w:r>
      <w:r>
        <w:rPr>
          <w:i/>
          <w:sz w:val="20"/>
          <w:szCs w:val="20"/>
        </w:rPr>
        <w:t xml:space="preserve">Id.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4C5B1D"/>
    <w:multiLevelType w:val="multilevel"/>
    <w:tmpl w:val="84F678FA"/>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470E165D"/>
    <w:multiLevelType w:val="multilevel"/>
    <w:tmpl w:val="20887B6E"/>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54760A47"/>
    <w:multiLevelType w:val="multilevel"/>
    <w:tmpl w:val="D81895C4"/>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13B3"/>
    <w:rsid w:val="00792EDE"/>
    <w:rsid w:val="00E0033E"/>
    <w:rsid w:val="00FC13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docId w15:val="{52169EF7-FB53-094D-B6C0-463383B74B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google.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copyright.gov/docs/making_available/making-available-right.pdf" TargetMode="External"/><Relationship Id="rId13" Type="http://schemas.openxmlformats.org/officeDocument/2006/relationships/hyperlink" Target="https://www.eff.org/deeplinks/2019/03/european-copyright-directive-what-it-and-why-has-it-drawn-more-controversy-any" TargetMode="External"/><Relationship Id="rId18" Type="http://schemas.openxmlformats.org/officeDocument/2006/relationships/hyperlink" Target="https://www.law.cornell.edu/wex/adhesion_contract_(contract_of_adhesion)" TargetMode="External"/><Relationship Id="rId3" Type="http://schemas.openxmlformats.org/officeDocument/2006/relationships/hyperlink" Target="https://scholarship.law.columbia.edu/cgi/viewcontent.cgi?article=3326&amp;context=faculty_scholarship" TargetMode="External"/><Relationship Id="rId7" Type="http://schemas.openxmlformats.org/officeDocument/2006/relationships/hyperlink" Target="https://blog.hootsuite.com/instagram-demographics/" TargetMode="External"/><Relationship Id="rId12" Type="http://schemas.openxmlformats.org/officeDocument/2006/relationships/hyperlink" Target="https://www.theverge.com/2019/2/13/18223815/eu-copyright-directive-article-11-13-trilogues-finished-final-vote-parliament" TargetMode="External"/><Relationship Id="rId17" Type="http://schemas.openxmlformats.org/officeDocument/2006/relationships/hyperlink" Target="https://help.instagram.com/325135857663734/?helpref=hc_fnav&amp;bc%5B0%5D=Instagram%20Help&amp;bc%5B1%5D=Privacy%20and%20Safety%20Center" TargetMode="External"/><Relationship Id="rId2" Type="http://schemas.openxmlformats.org/officeDocument/2006/relationships/hyperlink" Target="https://law.justia.com/cases/federal/district-courts/new-york/nysdce/1:2011cv05052/382350/73/" TargetMode="External"/><Relationship Id="rId16" Type="http://schemas.openxmlformats.org/officeDocument/2006/relationships/hyperlink" Target="https://arstechnica.com/tech-policy/2020/06/instagram-just-threw-users-of-its-embedding-api-under-the-bus/" TargetMode="External"/><Relationship Id="rId1" Type="http://schemas.openxmlformats.org/officeDocument/2006/relationships/hyperlink" Target="https://www.scientificamerican.com/article/the-loneliness-of-the-social-distancer-triggers-brain-cravings-akin-to-hunger/" TargetMode="External"/><Relationship Id="rId6" Type="http://schemas.openxmlformats.org/officeDocument/2006/relationships/hyperlink" Target="https://www.nytimes.com/2020/07/28/technology/amazon-apple-facebook-google-antitrust-hearing.html" TargetMode="External"/><Relationship Id="rId11" Type="http://schemas.openxmlformats.org/officeDocument/2006/relationships/hyperlink" Target="https://ec.europa.eu/digital-single-market/en/modernisation-eu-copyright-rules" TargetMode="External"/><Relationship Id="rId5" Type="http://schemas.openxmlformats.org/officeDocument/2006/relationships/hyperlink" Target="https://www.cnet.com/news/instagram-photos-disappear-from-twitter-feeds/" TargetMode="External"/><Relationship Id="rId15" Type="http://schemas.openxmlformats.org/officeDocument/2006/relationships/hyperlink" Target="https://help.instagram.com/581066165581870/?helpref=hc_fnav&amp;bc%5B0%5D=Instagram%20Help&amp;bc%5B1%5D=Privacy%20and%20Safety%20Center" TargetMode="External"/><Relationship Id="rId10" Type="http://schemas.openxmlformats.org/officeDocument/2006/relationships/hyperlink" Target="https://cmo.adobe.com/articles/2016/9/adi-advertising-demand-report-na-2016.html" TargetMode="External"/><Relationship Id="rId4" Type="http://schemas.openxmlformats.org/officeDocument/2006/relationships/hyperlink" Target="https://developers.facebook.com/docs/plugins/embedded-posts/" TargetMode="External"/><Relationship Id="rId9" Type="http://schemas.openxmlformats.org/officeDocument/2006/relationships/hyperlink" Target="https://1-next-westlaw-com.proxy006.nclive.org/Link/Document/FullText?findType=Y&amp;serNum=0100747631&amp;pubNum=0100014&amp;originatingDoc=I7818dbb779ca11d9ac1ffa9f33b6c3b0&amp;refType=TV&amp;originationContext=document&amp;transitionType=DocumentItem&amp;contextData=(sc.Search)" TargetMode="External"/><Relationship Id="rId14" Type="http://schemas.openxmlformats.org/officeDocument/2006/relationships/hyperlink" Target="https://www.smithsonianmag.com/smart-news/flooding-creates-10-mile-long-lake-death-valley-18097169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7094</Words>
  <Characters>40438</Characters>
  <Application>Microsoft Office Word</Application>
  <DocSecurity>0</DocSecurity>
  <Lines>336</Lines>
  <Paragraphs>94</Paragraphs>
  <ScaleCrop>false</ScaleCrop>
  <Company/>
  <LinksUpToDate>false</LinksUpToDate>
  <CharactersWithSpaces>47438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lastModifiedBy>
  <cp:revision>2</cp:revision>
  <dcterms:created xsi:type="dcterms:W3CDTF">2020-08-17T15:09:00Z</dcterms:created>
  <dcterms:modified xsi:type="dcterms:W3CDTF">2020-08-17T15:09:00Z</dcterms:modified>
</cp:coreProperties>
</file>